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B4" w:rsidRPr="002742AF" w:rsidRDefault="002C26DB" w:rsidP="002C26DB">
      <w:pPr>
        <w:pStyle w:val="Titel"/>
        <w:framePr w:wrap="notBeside"/>
        <w:rPr>
          <w:lang w:val="en-GB"/>
        </w:rPr>
      </w:pPr>
      <w:r w:rsidRPr="002742AF">
        <w:rPr>
          <w:lang w:val="en-GB"/>
        </w:rPr>
        <w:t>Toward harmonisation of survey questions on housing</w:t>
      </w:r>
    </w:p>
    <w:p w:rsidR="002C26DB" w:rsidRPr="002742AF" w:rsidRDefault="002C26DB" w:rsidP="004D2F94">
      <w:pPr>
        <w:jc w:val="center"/>
        <w:rPr>
          <w:rStyle w:val="Fett"/>
          <w:b w:val="0"/>
          <w:lang w:val="en-GB"/>
        </w:rPr>
      </w:pPr>
      <w:r w:rsidRPr="002742AF">
        <w:rPr>
          <w:rStyle w:val="Fett"/>
          <w:b w:val="0"/>
          <w:lang w:val="en-GB"/>
        </w:rPr>
        <w:t>Vlasta Zucha, Statistics Austria, Vienna</w:t>
      </w:r>
    </w:p>
    <w:p w:rsidR="002C26DB" w:rsidRPr="002742AF" w:rsidRDefault="004D2F94" w:rsidP="004D2F94">
      <w:pPr>
        <w:jc w:val="center"/>
        <w:rPr>
          <w:rStyle w:val="Fett"/>
          <w:b w:val="0"/>
          <w:lang w:val="en-GB"/>
        </w:rPr>
      </w:pPr>
      <w:r w:rsidRPr="002742AF">
        <w:rPr>
          <w:rStyle w:val="Fett"/>
          <w:b w:val="0"/>
          <w:lang w:val="en-GB"/>
        </w:rPr>
        <w:t>R</w:t>
      </w:r>
      <w:r w:rsidR="002C26DB" w:rsidRPr="002742AF">
        <w:rPr>
          <w:rStyle w:val="Fett"/>
          <w:b w:val="0"/>
          <w:lang w:val="en-GB"/>
        </w:rPr>
        <w:t>ichard Heuberger, Statistics Austria, Vienna</w:t>
      </w:r>
    </w:p>
    <w:p w:rsidR="004D2F94" w:rsidRPr="002742AF" w:rsidRDefault="004D2F94" w:rsidP="004D2F94">
      <w:pPr>
        <w:pStyle w:val="Zitat"/>
        <w:rPr>
          <w:lang w:val="en-GB"/>
        </w:rPr>
      </w:pPr>
      <w:r w:rsidRPr="002742AF">
        <w:rPr>
          <w:lang w:val="en-GB"/>
        </w:rPr>
        <w:t xml:space="preserve">Currently there are three major surveys at the department for social statistics at Statistics Austria: the </w:t>
      </w:r>
      <w:r w:rsidR="00973024">
        <w:rPr>
          <w:lang w:val="en-GB"/>
        </w:rPr>
        <w:t>Microcensus, the Household Budget S</w:t>
      </w:r>
      <w:r w:rsidRPr="002742AF">
        <w:rPr>
          <w:lang w:val="en-GB"/>
        </w:rPr>
        <w:t>urvey and EU-SILC. Each of them includes questions on housing. The survey questions refer to similar housing characteristics, but vary according to the legal frameworks, context, aim and interest of the particular survey. Concurrently, questions on housing of each survey refer to the questions of the other surveys – be it as reference mark with regard to data quality or be it as donor dataset for the estimation of imputed rents. Thus the interrelations of the three datasets motivated efforts to harmonise a set of questions on housing within these surveys.</w:t>
      </w:r>
    </w:p>
    <w:p w:rsidR="002C26DB" w:rsidRPr="002742AF" w:rsidRDefault="004D2F94" w:rsidP="004D2F94">
      <w:pPr>
        <w:pStyle w:val="Zitat"/>
        <w:rPr>
          <w:lang w:val="en-GB"/>
        </w:rPr>
      </w:pPr>
      <w:r w:rsidRPr="002742AF">
        <w:rPr>
          <w:lang w:val="en-GB"/>
        </w:rPr>
        <w:t>The paper will explain the motivation, challenges, procedures and gains of the harmonisation. It will elaborate on the various measures to ensure reasonable modifications of questions in all of the three surveys and draw some generalisations on harmonisation for other surveys.</w:t>
      </w:r>
    </w:p>
    <w:p w:rsidR="004D2F94" w:rsidRPr="002742AF" w:rsidRDefault="004D2F94" w:rsidP="004D2F94">
      <w:pPr>
        <w:pStyle w:val="berschrift1"/>
        <w:rPr>
          <w:lang w:val="en-GB"/>
        </w:rPr>
      </w:pPr>
      <w:r w:rsidRPr="002742AF">
        <w:rPr>
          <w:lang w:val="en-GB"/>
        </w:rPr>
        <w:t>Introduction</w:t>
      </w:r>
    </w:p>
    <w:p w:rsidR="004D2F94" w:rsidRPr="002742AF" w:rsidRDefault="004D2F94" w:rsidP="002C26DB">
      <w:pPr>
        <w:rPr>
          <w:lang w:val="en-GB"/>
        </w:rPr>
      </w:pPr>
      <w:r w:rsidRPr="002742AF">
        <w:rPr>
          <w:lang w:val="en-GB"/>
        </w:rPr>
        <w:t>At least three surveys conducted by Statistics Austria deal with questions on housing, housing costs and housing conditions: the Microcensus, EU</w:t>
      </w:r>
      <w:r w:rsidR="0046666D">
        <w:rPr>
          <w:lang w:val="en-GB"/>
        </w:rPr>
        <w:t>-SILC and the Household Budget S</w:t>
      </w:r>
      <w:r w:rsidRPr="002742AF">
        <w:rPr>
          <w:lang w:val="en-GB"/>
        </w:rPr>
        <w:t>urvey</w:t>
      </w:r>
      <w:r w:rsidR="001C4034">
        <w:rPr>
          <w:lang w:val="en-GB"/>
        </w:rPr>
        <w:t xml:space="preserve"> (HBS)</w:t>
      </w:r>
      <w:r w:rsidRPr="002742AF">
        <w:rPr>
          <w:lang w:val="en-GB"/>
        </w:rPr>
        <w:t xml:space="preserve">. Each of the three surveys is interested in particular aspects of </w:t>
      </w:r>
      <w:r w:rsidRPr="00973024">
        <w:rPr>
          <w:lang w:val="en-GB"/>
        </w:rPr>
        <w:t xml:space="preserve">housing. The main aim of the Microcensus </w:t>
      </w:r>
      <w:r w:rsidR="00973024" w:rsidRPr="00973024">
        <w:rPr>
          <w:lang w:val="en-GB"/>
        </w:rPr>
        <w:t xml:space="preserve">Housing Survey </w:t>
      </w:r>
      <w:r w:rsidRPr="00973024">
        <w:rPr>
          <w:lang w:val="en-GB"/>
        </w:rPr>
        <w:t>is the general reporting on</w:t>
      </w:r>
      <w:r w:rsidRPr="002742AF">
        <w:rPr>
          <w:lang w:val="en-GB"/>
        </w:rPr>
        <w:t xml:space="preserve"> housing in Austria</w:t>
      </w:r>
      <w:r w:rsidR="004D611C">
        <w:rPr>
          <w:lang w:val="en-GB"/>
        </w:rPr>
        <w:t xml:space="preserve">. The focus of the </w:t>
      </w:r>
      <w:r w:rsidR="001C4034">
        <w:rPr>
          <w:lang w:val="en-GB"/>
        </w:rPr>
        <w:t>HBS</w:t>
      </w:r>
      <w:r w:rsidRPr="002742AF">
        <w:rPr>
          <w:lang w:val="en-GB"/>
        </w:rPr>
        <w:t xml:space="preserve"> is housing in the context of the consumption structure of private households. EU-S</w:t>
      </w:r>
      <w:r w:rsidR="00515758" w:rsidRPr="002742AF">
        <w:rPr>
          <w:lang w:val="en-GB"/>
        </w:rPr>
        <w:t xml:space="preserve">ILC is mainly interested in housing conditions and housing costs </w:t>
      </w:r>
      <w:r w:rsidR="00F30702">
        <w:rPr>
          <w:lang w:val="en-GB"/>
        </w:rPr>
        <w:t xml:space="preserve">within the scope of a </w:t>
      </w:r>
      <w:r w:rsidR="00515758" w:rsidRPr="002742AF">
        <w:rPr>
          <w:lang w:val="en-GB"/>
        </w:rPr>
        <w:t xml:space="preserve">survey concerned with living conditions of private households in Austria. Though these surveys are interested in different aspects of housing, quite many variables cover similar areas: tenure status, type of building, </w:t>
      </w:r>
      <w:r w:rsidR="00623A7F">
        <w:rPr>
          <w:lang w:val="en-GB"/>
        </w:rPr>
        <w:t>floor space –</w:t>
      </w:r>
      <w:r w:rsidR="00515758" w:rsidRPr="002742AF">
        <w:rPr>
          <w:lang w:val="en-GB"/>
        </w:rPr>
        <w:t xml:space="preserve"> to </w:t>
      </w:r>
      <w:r w:rsidR="00623A7F">
        <w:rPr>
          <w:lang w:val="en-GB"/>
        </w:rPr>
        <w:t xml:space="preserve">mention </w:t>
      </w:r>
      <w:r w:rsidR="00515758" w:rsidRPr="002742AF">
        <w:rPr>
          <w:lang w:val="en-GB"/>
        </w:rPr>
        <w:t>just a few.</w:t>
      </w:r>
      <w:r w:rsidR="004D611C">
        <w:rPr>
          <w:lang w:val="en-GB"/>
        </w:rPr>
        <w:t xml:space="preserve"> But only </w:t>
      </w:r>
      <w:r w:rsidR="00BA5D02">
        <w:rPr>
          <w:lang w:val="en-GB"/>
        </w:rPr>
        <w:t>some</w:t>
      </w:r>
      <w:r w:rsidR="004D611C">
        <w:rPr>
          <w:lang w:val="en-GB"/>
        </w:rPr>
        <w:t xml:space="preserve"> of them were </w:t>
      </w:r>
      <w:r w:rsidR="00623A7F">
        <w:rPr>
          <w:lang w:val="en-GB"/>
        </w:rPr>
        <w:t>formulated</w:t>
      </w:r>
      <w:r w:rsidR="004D611C">
        <w:rPr>
          <w:lang w:val="en-GB"/>
        </w:rPr>
        <w:t xml:space="preserve"> in </w:t>
      </w:r>
      <w:r w:rsidR="0046666D">
        <w:rPr>
          <w:lang w:val="en-GB"/>
        </w:rPr>
        <w:t xml:space="preserve">a similar </w:t>
      </w:r>
      <w:r w:rsidR="004D611C">
        <w:rPr>
          <w:lang w:val="en-GB"/>
        </w:rPr>
        <w:t xml:space="preserve">way. </w:t>
      </w:r>
      <w:r w:rsidR="0046666D">
        <w:rPr>
          <w:lang w:val="en-GB"/>
        </w:rPr>
        <w:t>Furthermore, s</w:t>
      </w:r>
      <w:r w:rsidR="004D611C">
        <w:rPr>
          <w:lang w:val="en-GB"/>
        </w:rPr>
        <w:t>imilarities between the characterist</w:t>
      </w:r>
      <w:r w:rsidR="0046666D">
        <w:rPr>
          <w:lang w:val="en-GB"/>
        </w:rPr>
        <w:t>ics and variables were not</w:t>
      </w:r>
      <w:r w:rsidR="007908EB">
        <w:rPr>
          <w:lang w:val="en-GB"/>
        </w:rPr>
        <w:t xml:space="preserve"> established</w:t>
      </w:r>
      <w:r w:rsidR="001124DF">
        <w:rPr>
          <w:lang w:val="en-GB"/>
        </w:rPr>
        <w:t xml:space="preserve"> </w:t>
      </w:r>
      <w:r w:rsidR="004D611C">
        <w:rPr>
          <w:lang w:val="en-GB"/>
        </w:rPr>
        <w:t xml:space="preserve">and </w:t>
      </w:r>
      <w:r w:rsidR="0046666D">
        <w:rPr>
          <w:lang w:val="en-GB"/>
        </w:rPr>
        <w:t>handled in a structured</w:t>
      </w:r>
      <w:r w:rsidR="004D611C">
        <w:rPr>
          <w:lang w:val="en-GB"/>
        </w:rPr>
        <w:t xml:space="preserve"> way</w:t>
      </w:r>
      <w:r w:rsidR="00623A7F">
        <w:rPr>
          <w:lang w:val="en-GB"/>
        </w:rPr>
        <w:t xml:space="preserve"> so far</w:t>
      </w:r>
      <w:r w:rsidR="004D611C">
        <w:rPr>
          <w:lang w:val="en-GB"/>
        </w:rPr>
        <w:t xml:space="preserve">.  </w:t>
      </w:r>
    </w:p>
    <w:p w:rsidR="00973024" w:rsidRDefault="004D611C" w:rsidP="002C26DB">
      <w:pPr>
        <w:rPr>
          <w:lang w:val="en-GB"/>
        </w:rPr>
      </w:pPr>
      <w:r>
        <w:rPr>
          <w:lang w:val="en-GB"/>
        </w:rPr>
        <w:t xml:space="preserve">The motivation to start a process of harmonising housing characteristics and analyse the </w:t>
      </w:r>
      <w:r w:rsidR="00983CA9">
        <w:rPr>
          <w:lang w:val="en-GB"/>
        </w:rPr>
        <w:t>possibilities of harmonisation w</w:t>
      </w:r>
      <w:r>
        <w:rPr>
          <w:lang w:val="en-GB"/>
        </w:rPr>
        <w:t xml:space="preserve">as twofold. First, the three mentioned surveys reveal strong interrelations. </w:t>
      </w:r>
      <w:r w:rsidR="00BA5D02">
        <w:rPr>
          <w:lang w:val="en-GB"/>
        </w:rPr>
        <w:t xml:space="preserve">They </w:t>
      </w:r>
      <w:r w:rsidR="007908EB">
        <w:rPr>
          <w:lang w:val="en-GB"/>
        </w:rPr>
        <w:t xml:space="preserve">all </w:t>
      </w:r>
      <w:r>
        <w:rPr>
          <w:lang w:val="en-GB"/>
        </w:rPr>
        <w:t>cover housing characteri</w:t>
      </w:r>
      <w:r w:rsidR="00F033F5">
        <w:rPr>
          <w:lang w:val="en-GB"/>
        </w:rPr>
        <w:t>stics</w:t>
      </w:r>
      <w:r w:rsidR="007908EB">
        <w:rPr>
          <w:lang w:val="en-GB"/>
        </w:rPr>
        <w:t xml:space="preserve"> and </w:t>
      </w:r>
      <w:r w:rsidR="007B1FD8">
        <w:rPr>
          <w:lang w:val="en-GB"/>
        </w:rPr>
        <w:t xml:space="preserve">the Microcensus serves as donor </w:t>
      </w:r>
      <w:r w:rsidR="007B1FD8">
        <w:rPr>
          <w:lang w:val="en-GB"/>
        </w:rPr>
        <w:lastRenderedPageBreak/>
        <w:t>dataset for EU-SILC and the H</w:t>
      </w:r>
      <w:r w:rsidR="001C4034">
        <w:rPr>
          <w:lang w:val="en-GB"/>
        </w:rPr>
        <w:t>BS</w:t>
      </w:r>
      <w:r w:rsidR="007B1FD8">
        <w:rPr>
          <w:lang w:val="en-GB"/>
        </w:rPr>
        <w:t xml:space="preserve">. </w:t>
      </w:r>
      <w:r w:rsidR="007222BC">
        <w:rPr>
          <w:lang w:val="en-GB"/>
        </w:rPr>
        <w:t>And second, practical issues</w:t>
      </w:r>
      <w:r w:rsidR="007908EB">
        <w:rPr>
          <w:lang w:val="en-GB"/>
        </w:rPr>
        <w:t xml:space="preserve"> </w:t>
      </w:r>
      <w:r w:rsidR="007222BC">
        <w:rPr>
          <w:lang w:val="en-GB"/>
        </w:rPr>
        <w:t xml:space="preserve">conducting surveys with interrelated topics </w:t>
      </w:r>
      <w:r w:rsidR="007908EB">
        <w:rPr>
          <w:lang w:val="en-GB"/>
        </w:rPr>
        <w:t xml:space="preserve">(like interviewer trainings) </w:t>
      </w:r>
      <w:r w:rsidR="007222BC">
        <w:rPr>
          <w:lang w:val="en-GB"/>
        </w:rPr>
        <w:t xml:space="preserve">were another important factor </w:t>
      </w:r>
      <w:r w:rsidR="007908EB">
        <w:rPr>
          <w:lang w:val="en-GB"/>
        </w:rPr>
        <w:t>initiating</w:t>
      </w:r>
      <w:r w:rsidR="00331635">
        <w:rPr>
          <w:lang w:val="en-GB"/>
        </w:rPr>
        <w:t xml:space="preserve"> the process of harmonisation</w:t>
      </w:r>
      <w:r w:rsidR="008B54CE">
        <w:rPr>
          <w:lang w:val="en-GB"/>
        </w:rPr>
        <w:t>.</w:t>
      </w:r>
      <w:r w:rsidR="00973024">
        <w:rPr>
          <w:lang w:val="en-GB"/>
        </w:rPr>
        <w:t xml:space="preserve"> </w:t>
      </w:r>
    </w:p>
    <w:p w:rsidR="00983CA9" w:rsidRDefault="00983CA9" w:rsidP="00983CA9">
      <w:pPr>
        <w:rPr>
          <w:lang w:val="en-GB"/>
        </w:rPr>
      </w:pPr>
      <w:r w:rsidRPr="00983CA9">
        <w:rPr>
          <w:lang w:val="en-GB"/>
        </w:rPr>
        <w:t xml:space="preserve">Looking at a conventional survey process producing social statistics, </w:t>
      </w:r>
      <w:r w:rsidRPr="009B5B91">
        <w:rPr>
          <w:lang w:val="en-GB"/>
        </w:rPr>
        <w:t>harmonisation can be applied at</w:t>
      </w:r>
      <w:r>
        <w:rPr>
          <w:lang w:val="en-GB"/>
        </w:rPr>
        <w:t xml:space="preserve"> </w:t>
      </w:r>
      <w:r w:rsidRPr="009B5B91">
        <w:rPr>
          <w:lang w:val="en-GB"/>
        </w:rPr>
        <w:t>three stages</w:t>
      </w:r>
      <w:r>
        <w:rPr>
          <w:lang w:val="en-GB"/>
        </w:rPr>
        <w:t xml:space="preserve"> –</w:t>
      </w:r>
      <w:r w:rsidR="007908EB">
        <w:rPr>
          <w:lang w:val="en-GB"/>
        </w:rPr>
        <w:t xml:space="preserve"> </w:t>
      </w:r>
      <w:r w:rsidRPr="009B5B91">
        <w:rPr>
          <w:lang w:val="en-GB"/>
        </w:rPr>
        <w:t>inputs</w:t>
      </w:r>
      <w:r>
        <w:rPr>
          <w:lang w:val="en-GB"/>
        </w:rPr>
        <w:t xml:space="preserve">, processes or outputs. </w:t>
      </w:r>
      <w:r w:rsidR="00623A7F">
        <w:rPr>
          <w:lang w:val="en-GB"/>
        </w:rPr>
        <w:t>Thus, m</w:t>
      </w:r>
      <w:r>
        <w:rPr>
          <w:lang w:val="en-GB"/>
        </w:rPr>
        <w:t xml:space="preserve">easures can be taken with regard to </w:t>
      </w:r>
      <w:r w:rsidRPr="00983CA9">
        <w:rPr>
          <w:lang w:val="en-GB"/>
        </w:rPr>
        <w:t>measurement issues, modes of survey administration and data analysis.</w:t>
      </w:r>
      <w:r>
        <w:rPr>
          <w:lang w:val="en-GB"/>
        </w:rPr>
        <w:t xml:space="preserve"> </w:t>
      </w:r>
    </w:p>
    <w:p w:rsidR="00983CA9" w:rsidRDefault="00983CA9" w:rsidP="00983CA9">
      <w:pPr>
        <w:rPr>
          <w:lang w:val="en-GB"/>
        </w:rPr>
      </w:pPr>
      <w:r w:rsidRPr="00983CA9">
        <w:rPr>
          <w:lang w:val="en-GB"/>
        </w:rPr>
        <w:t xml:space="preserve">In the particular case of Microcensus, EU-SILC and </w:t>
      </w:r>
      <w:r w:rsidR="001C4034">
        <w:rPr>
          <w:lang w:val="en-GB"/>
        </w:rPr>
        <w:t>HBS</w:t>
      </w:r>
      <w:r w:rsidRPr="00983CA9">
        <w:rPr>
          <w:lang w:val="en-GB"/>
        </w:rPr>
        <w:t xml:space="preserve">, the aim was not to come up with completely standardised national survey questions, but to harmonise </w:t>
      </w:r>
      <w:r w:rsidR="00694127" w:rsidRPr="00983CA9">
        <w:rPr>
          <w:lang w:val="en-GB"/>
        </w:rPr>
        <w:t xml:space="preserve">highly interdependent </w:t>
      </w:r>
      <w:r w:rsidRPr="00983CA9">
        <w:rPr>
          <w:lang w:val="en-GB"/>
        </w:rPr>
        <w:t>questions with regard to analysis and reporting</w:t>
      </w:r>
      <w:r w:rsidR="00694127">
        <w:rPr>
          <w:lang w:val="en-GB"/>
        </w:rPr>
        <w:t>. Thus</w:t>
      </w:r>
      <w:r w:rsidR="00F03B0A">
        <w:rPr>
          <w:lang w:val="en-GB"/>
        </w:rPr>
        <w:t xml:space="preserve">, </w:t>
      </w:r>
      <w:r w:rsidR="00694127">
        <w:rPr>
          <w:lang w:val="en-GB"/>
        </w:rPr>
        <w:t xml:space="preserve">the focus was on </w:t>
      </w:r>
      <w:r w:rsidR="00F03B0A">
        <w:rPr>
          <w:lang w:val="en-GB"/>
        </w:rPr>
        <w:t>harmonising measurement issues</w:t>
      </w:r>
      <w:r w:rsidR="00694127">
        <w:rPr>
          <w:lang w:val="en-GB"/>
        </w:rPr>
        <w:t xml:space="preserve"> primarily</w:t>
      </w:r>
      <w:r w:rsidRPr="00983CA9">
        <w:rPr>
          <w:lang w:val="en-GB"/>
        </w:rPr>
        <w:t>. The modes of survey administration were not in the focus of the harmonisation process</w:t>
      </w:r>
      <w:r w:rsidR="00623A7F">
        <w:rPr>
          <w:lang w:val="en-GB"/>
        </w:rPr>
        <w:t xml:space="preserve"> started in the year 2013.</w:t>
      </w:r>
      <w:r w:rsidRPr="00983CA9">
        <w:rPr>
          <w:lang w:val="en-GB"/>
        </w:rPr>
        <w:t xml:space="preserve"> </w:t>
      </w:r>
    </w:p>
    <w:p w:rsidR="00507DD3" w:rsidRDefault="00507DD3" w:rsidP="00983CA9">
      <w:pPr>
        <w:rPr>
          <w:lang w:val="en-GB"/>
        </w:rPr>
      </w:pPr>
      <w:r>
        <w:rPr>
          <w:lang w:val="en-GB"/>
        </w:rPr>
        <w:t xml:space="preserve">In literature, three harmonisation </w:t>
      </w:r>
      <w:r w:rsidR="00230A07">
        <w:rPr>
          <w:lang w:val="en-GB"/>
        </w:rPr>
        <w:t xml:space="preserve">strategies </w:t>
      </w:r>
      <w:r>
        <w:rPr>
          <w:lang w:val="en-GB"/>
        </w:rPr>
        <w:t xml:space="preserve">referring to time and target of the process are distinguished: input harmonisation, ex-ante output harmonisation and ex-post </w:t>
      </w:r>
      <w:r w:rsidR="0083347B">
        <w:rPr>
          <w:lang w:val="en-GB"/>
        </w:rPr>
        <w:t xml:space="preserve">output </w:t>
      </w:r>
      <w:r>
        <w:rPr>
          <w:lang w:val="en-GB"/>
        </w:rPr>
        <w:t>harmonisation [1</w:t>
      </w:r>
      <w:r w:rsidR="00EE7E1F">
        <w:rPr>
          <w:lang w:val="en-GB"/>
        </w:rPr>
        <w:t>, 2</w:t>
      </w:r>
      <w:r>
        <w:rPr>
          <w:lang w:val="en-GB"/>
        </w:rPr>
        <w:t>]</w:t>
      </w:r>
      <w:r w:rsidR="00CD3D50">
        <w:rPr>
          <w:lang w:val="en-GB"/>
        </w:rPr>
        <w:t xml:space="preserve">. </w:t>
      </w:r>
      <w:proofErr w:type="gramStart"/>
      <w:r w:rsidR="00CD3D50">
        <w:rPr>
          <w:lang w:val="en-GB"/>
        </w:rPr>
        <w:t>The strategies rang</w:t>
      </w:r>
      <w:r w:rsidR="0083347B">
        <w:rPr>
          <w:lang w:val="en-GB"/>
        </w:rPr>
        <w:t>e</w:t>
      </w:r>
      <w:r w:rsidR="00CD3D50">
        <w:rPr>
          <w:lang w:val="en-GB"/>
        </w:rPr>
        <w:t xml:space="preserve"> from i</w:t>
      </w:r>
      <w:r w:rsidR="004B526C">
        <w:rPr>
          <w:lang w:val="en-GB"/>
        </w:rPr>
        <w:t xml:space="preserve">nput harmonisation </w:t>
      </w:r>
      <w:r w:rsidR="00B851B7">
        <w:rPr>
          <w:lang w:val="en-GB"/>
        </w:rPr>
        <w:t>including</w:t>
      </w:r>
      <w:r w:rsidR="004B526C">
        <w:rPr>
          <w:lang w:val="en-GB"/>
        </w:rPr>
        <w:t xml:space="preserve"> the complete harmonisation of concepts, instruments and survey process</w:t>
      </w:r>
      <w:r w:rsidR="00CD3D50">
        <w:rPr>
          <w:lang w:val="en-GB"/>
        </w:rPr>
        <w:t xml:space="preserve"> to</w:t>
      </w:r>
      <w:r w:rsidR="004B526C">
        <w:rPr>
          <w:lang w:val="en-GB"/>
        </w:rPr>
        <w:t xml:space="preserve"> output harmonisation </w:t>
      </w:r>
      <w:r w:rsidR="00B851B7">
        <w:rPr>
          <w:lang w:val="en-GB"/>
        </w:rPr>
        <w:t xml:space="preserve">focusing </w:t>
      </w:r>
      <w:r w:rsidR="0083347B">
        <w:rPr>
          <w:lang w:val="en-GB"/>
        </w:rPr>
        <w:t xml:space="preserve">on </w:t>
      </w:r>
      <w:r w:rsidR="00CD3D50">
        <w:rPr>
          <w:lang w:val="en-GB"/>
        </w:rPr>
        <w:t>aggregated data.</w:t>
      </w:r>
      <w:proofErr w:type="gramEnd"/>
      <w:r w:rsidR="00B851B7">
        <w:rPr>
          <w:lang w:val="en-GB"/>
        </w:rPr>
        <w:t xml:space="preserve"> The harmonisation process of </w:t>
      </w:r>
      <w:r w:rsidR="00B851B7" w:rsidRPr="00983CA9">
        <w:rPr>
          <w:lang w:val="en-GB"/>
        </w:rPr>
        <w:t xml:space="preserve">Microcensus, EU-SILC and </w:t>
      </w:r>
      <w:r w:rsidR="00B851B7">
        <w:rPr>
          <w:lang w:val="en-GB"/>
        </w:rPr>
        <w:t>HBS</w:t>
      </w:r>
      <w:r w:rsidR="00B851B7">
        <w:rPr>
          <w:lang w:val="en-GB"/>
        </w:rPr>
        <w:t xml:space="preserve"> illustrated in this paper represents an input harmonisation focusing primarily on the measurement instrument and less on the administrative procedures of the surveys.</w:t>
      </w:r>
      <w:r w:rsidR="0083347B">
        <w:rPr>
          <w:lang w:val="en-GB"/>
        </w:rPr>
        <w:t xml:space="preserve"> </w:t>
      </w:r>
    </w:p>
    <w:p w:rsidR="00065077" w:rsidRPr="001124DF" w:rsidRDefault="001124DF" w:rsidP="001124DF">
      <w:pPr>
        <w:pStyle w:val="berschrift1"/>
        <w:rPr>
          <w:lang w:val="en-GB"/>
        </w:rPr>
      </w:pPr>
      <w:r>
        <w:rPr>
          <w:lang w:val="en-GB"/>
        </w:rPr>
        <w:t>Challenges of harmonisation</w:t>
      </w:r>
    </w:p>
    <w:p w:rsidR="00983CA9" w:rsidRDefault="007E5309" w:rsidP="00983CA9">
      <w:pPr>
        <w:rPr>
          <w:lang w:val="en-GB"/>
        </w:rPr>
      </w:pPr>
      <w:r>
        <w:rPr>
          <w:lang w:val="en-GB"/>
        </w:rPr>
        <w:t xml:space="preserve">The </w:t>
      </w:r>
      <w:r w:rsidRPr="00983CA9">
        <w:rPr>
          <w:lang w:val="en-GB"/>
        </w:rPr>
        <w:t xml:space="preserve">Microcensus, EU-SILC and </w:t>
      </w:r>
      <w:r>
        <w:rPr>
          <w:lang w:val="en-GB"/>
        </w:rPr>
        <w:t xml:space="preserve">the </w:t>
      </w:r>
      <w:r w:rsidR="001C4034">
        <w:rPr>
          <w:lang w:val="en-GB"/>
        </w:rPr>
        <w:t>HBS</w:t>
      </w:r>
      <w:r>
        <w:rPr>
          <w:lang w:val="en-GB"/>
        </w:rPr>
        <w:t xml:space="preserve"> </w:t>
      </w:r>
      <w:r w:rsidR="00983CA9">
        <w:rPr>
          <w:lang w:val="en-GB"/>
        </w:rPr>
        <w:t>are established and continuous surveys</w:t>
      </w:r>
      <w:r w:rsidR="001124DF">
        <w:rPr>
          <w:lang w:val="en-GB"/>
        </w:rPr>
        <w:t xml:space="preserve"> (quarterly, annually</w:t>
      </w:r>
      <w:r w:rsidR="00B851B7">
        <w:rPr>
          <w:lang w:val="en-GB"/>
        </w:rPr>
        <w:t>,</w:t>
      </w:r>
      <w:r w:rsidR="001124DF">
        <w:rPr>
          <w:lang w:val="en-GB"/>
        </w:rPr>
        <w:t xml:space="preserve"> every 5 years)</w:t>
      </w:r>
      <w:r w:rsidR="00983CA9">
        <w:rPr>
          <w:lang w:val="en-GB"/>
        </w:rPr>
        <w:t xml:space="preserve"> which produce time series for special topics</w:t>
      </w:r>
      <w:r w:rsidR="00177F45">
        <w:rPr>
          <w:lang w:val="en-GB"/>
        </w:rPr>
        <w:t xml:space="preserve">. Furthermore, these surveys are </w:t>
      </w:r>
      <w:r w:rsidR="00983CA9">
        <w:rPr>
          <w:lang w:val="en-GB"/>
        </w:rPr>
        <w:t>interrelated</w:t>
      </w:r>
      <w:r w:rsidR="00177F45">
        <w:rPr>
          <w:lang w:val="en-GB"/>
        </w:rPr>
        <w:t xml:space="preserve"> and </w:t>
      </w:r>
      <w:r w:rsidR="00B53776">
        <w:rPr>
          <w:lang w:val="en-GB"/>
        </w:rPr>
        <w:t xml:space="preserve">linked </w:t>
      </w:r>
      <w:r w:rsidR="00983CA9">
        <w:rPr>
          <w:lang w:val="en-GB"/>
        </w:rPr>
        <w:t xml:space="preserve">with other surveys and </w:t>
      </w:r>
      <w:r w:rsidR="00D120E0">
        <w:rPr>
          <w:lang w:val="en-GB"/>
        </w:rPr>
        <w:t xml:space="preserve">statistics </w:t>
      </w:r>
      <w:r w:rsidR="00983CA9">
        <w:rPr>
          <w:lang w:val="en-GB"/>
        </w:rPr>
        <w:t xml:space="preserve">of Statistics Austria. Therefore, some challenges have to be met and a systematic approach </w:t>
      </w:r>
      <w:r w:rsidR="00177F45">
        <w:rPr>
          <w:lang w:val="en-GB"/>
        </w:rPr>
        <w:t xml:space="preserve">has </w:t>
      </w:r>
      <w:r w:rsidR="00983CA9">
        <w:rPr>
          <w:lang w:val="en-GB"/>
        </w:rPr>
        <w:t xml:space="preserve">to be found. </w:t>
      </w:r>
    </w:p>
    <w:p w:rsidR="00065077" w:rsidRPr="002742AF" w:rsidRDefault="00A4590B" w:rsidP="00A4590B">
      <w:pPr>
        <w:rPr>
          <w:lang w:val="en-GB"/>
        </w:rPr>
      </w:pPr>
      <w:r>
        <w:rPr>
          <w:lang w:val="en-GB"/>
        </w:rPr>
        <w:t xml:space="preserve">To better understand the framework of harmonisation the different </w:t>
      </w:r>
      <w:r w:rsidR="00065077" w:rsidRPr="002742AF">
        <w:rPr>
          <w:lang w:val="en-GB"/>
        </w:rPr>
        <w:t xml:space="preserve">aims and interests of </w:t>
      </w:r>
      <w:r>
        <w:rPr>
          <w:lang w:val="en-GB"/>
        </w:rPr>
        <w:t>the Microcensus, EU-SILC and the H</w:t>
      </w:r>
      <w:r w:rsidR="001C4034">
        <w:rPr>
          <w:lang w:val="en-GB"/>
        </w:rPr>
        <w:t>BS</w:t>
      </w:r>
      <w:r>
        <w:rPr>
          <w:lang w:val="en-GB"/>
        </w:rPr>
        <w:t xml:space="preserve"> will be illustrated</w:t>
      </w:r>
      <w:r w:rsidR="00623A7F">
        <w:rPr>
          <w:lang w:val="en-GB"/>
        </w:rPr>
        <w:t xml:space="preserve"> – in general and with regard to housing statistics</w:t>
      </w:r>
      <w:r>
        <w:rPr>
          <w:lang w:val="en-GB"/>
        </w:rPr>
        <w:t xml:space="preserve">. </w:t>
      </w:r>
      <w:r w:rsidR="007E1539">
        <w:rPr>
          <w:lang w:val="en-GB"/>
        </w:rPr>
        <w:t xml:space="preserve">Furthermore, the </w:t>
      </w:r>
      <w:r w:rsidR="00065077" w:rsidRPr="002742AF">
        <w:rPr>
          <w:lang w:val="en-GB"/>
        </w:rPr>
        <w:t>surveys</w:t>
      </w:r>
      <w:r w:rsidR="007E1539">
        <w:rPr>
          <w:lang w:val="en-GB"/>
        </w:rPr>
        <w:t xml:space="preserve"> are based on </w:t>
      </w:r>
      <w:r w:rsidR="00065077" w:rsidRPr="002742AF">
        <w:rPr>
          <w:lang w:val="en-GB"/>
        </w:rPr>
        <w:t>different legal frameworks</w:t>
      </w:r>
      <w:r w:rsidR="007E1539">
        <w:rPr>
          <w:lang w:val="en-GB"/>
        </w:rPr>
        <w:t xml:space="preserve"> and – </w:t>
      </w:r>
      <w:r w:rsidR="00623A7F">
        <w:rPr>
          <w:lang w:val="en-GB"/>
        </w:rPr>
        <w:t>what is even more decisive</w:t>
      </w:r>
      <w:r w:rsidR="007E1539">
        <w:rPr>
          <w:lang w:val="en-GB"/>
        </w:rPr>
        <w:t xml:space="preserve"> – different types of legal frameworks, </w:t>
      </w:r>
      <w:r w:rsidR="00955AB3">
        <w:rPr>
          <w:lang w:val="en-GB"/>
        </w:rPr>
        <w:t>because</w:t>
      </w:r>
      <w:r w:rsidR="007E1539">
        <w:rPr>
          <w:lang w:val="en-GB"/>
        </w:rPr>
        <w:t xml:space="preserve"> housing characteristics and variables</w:t>
      </w:r>
      <w:r w:rsidR="00955AB3">
        <w:rPr>
          <w:lang w:val="en-GB"/>
        </w:rPr>
        <w:t xml:space="preserve"> there</w:t>
      </w:r>
      <w:r w:rsidR="007E1539">
        <w:rPr>
          <w:lang w:val="en-GB"/>
        </w:rPr>
        <w:t xml:space="preserve"> </w:t>
      </w:r>
      <w:r w:rsidR="00A2049B">
        <w:rPr>
          <w:lang w:val="en-GB"/>
        </w:rPr>
        <w:t xml:space="preserve">are defined to </w:t>
      </w:r>
      <w:r w:rsidR="00E0295A" w:rsidRPr="00CE1D0A">
        <w:rPr>
          <w:lang w:val="en-GB"/>
        </w:rPr>
        <w:t>different degrees</w:t>
      </w:r>
      <w:r w:rsidR="007E1539" w:rsidRPr="00CE1D0A">
        <w:rPr>
          <w:lang w:val="en-GB"/>
        </w:rPr>
        <w:t>.</w:t>
      </w:r>
      <w:r w:rsidR="00065077" w:rsidRPr="002742AF">
        <w:rPr>
          <w:lang w:val="en-GB"/>
        </w:rPr>
        <w:t xml:space="preserve"> </w:t>
      </w:r>
    </w:p>
    <w:p w:rsidR="009D3174" w:rsidRDefault="00A2049B" w:rsidP="00D16700">
      <w:pPr>
        <w:rPr>
          <w:lang w:val="en-GB"/>
        </w:rPr>
      </w:pPr>
      <w:r>
        <w:rPr>
          <w:lang w:val="en-GB"/>
        </w:rPr>
        <w:t xml:space="preserve">The </w:t>
      </w:r>
      <w:r w:rsidR="00BE699F">
        <w:rPr>
          <w:lang w:val="en-GB"/>
        </w:rPr>
        <w:t xml:space="preserve">Austrian </w:t>
      </w:r>
      <w:r w:rsidR="007E1539">
        <w:rPr>
          <w:lang w:val="en-GB"/>
        </w:rPr>
        <w:t>Microcensus</w:t>
      </w:r>
      <w:r w:rsidR="009D3174">
        <w:rPr>
          <w:lang w:val="en-GB"/>
        </w:rPr>
        <w:t xml:space="preserve"> Housing Survey</w:t>
      </w:r>
      <w:r>
        <w:rPr>
          <w:lang w:val="en-GB"/>
        </w:rPr>
        <w:t xml:space="preserve"> </w:t>
      </w:r>
      <w:r w:rsidR="009D3174">
        <w:rPr>
          <w:lang w:val="en-GB"/>
        </w:rPr>
        <w:t>is conducted within the framework of the Labour Force Survey (LFS)</w:t>
      </w:r>
      <w:r w:rsidR="00C2523A">
        <w:rPr>
          <w:lang w:val="en-GB"/>
        </w:rPr>
        <w:t xml:space="preserve">. </w:t>
      </w:r>
      <w:r>
        <w:rPr>
          <w:lang w:val="en-GB"/>
        </w:rPr>
        <w:t xml:space="preserve">It </w:t>
      </w:r>
      <w:r w:rsidR="009D3174">
        <w:rPr>
          <w:lang w:val="en-GB"/>
        </w:rPr>
        <w:t xml:space="preserve">is a </w:t>
      </w:r>
      <w:r w:rsidR="009D3174" w:rsidRPr="009D3174">
        <w:rPr>
          <w:lang w:val="en-GB"/>
        </w:rPr>
        <w:t xml:space="preserve">household sample survey providing quarterly results on labour participation </w:t>
      </w:r>
      <w:r w:rsidR="009D3174">
        <w:rPr>
          <w:lang w:val="en-GB"/>
        </w:rPr>
        <w:t xml:space="preserve">and housing. </w:t>
      </w:r>
      <w:r w:rsidR="00BC62E3">
        <w:rPr>
          <w:lang w:val="en-GB"/>
        </w:rPr>
        <w:t xml:space="preserve">Each </w:t>
      </w:r>
      <w:r>
        <w:rPr>
          <w:lang w:val="en-GB"/>
        </w:rPr>
        <w:t xml:space="preserve">quarter </w:t>
      </w:r>
      <w:r w:rsidR="00B851B7">
        <w:rPr>
          <w:lang w:val="en-GB"/>
        </w:rPr>
        <w:t xml:space="preserve">more than </w:t>
      </w:r>
      <w:r>
        <w:rPr>
          <w:lang w:val="en-GB"/>
        </w:rPr>
        <w:t xml:space="preserve">20.000 households are asked about their housing situation and housing costs by means of </w:t>
      </w:r>
      <w:r w:rsidR="00041B9C">
        <w:rPr>
          <w:lang w:val="en-GB"/>
        </w:rPr>
        <w:t>computer assisted per</w:t>
      </w:r>
      <w:r w:rsidR="00CD3D50">
        <w:rPr>
          <w:lang w:val="en-GB"/>
        </w:rPr>
        <w:t>sonal or telephone interviews [3</w:t>
      </w:r>
      <w:r w:rsidR="00041B9C">
        <w:rPr>
          <w:lang w:val="en-GB"/>
        </w:rPr>
        <w:t xml:space="preserve">]. </w:t>
      </w:r>
      <w:r w:rsidR="0031673F">
        <w:rPr>
          <w:lang w:val="en-GB"/>
        </w:rPr>
        <w:t xml:space="preserve">The LFS-part of the Microcensus </w:t>
      </w:r>
      <w:r w:rsidR="0031673F">
        <w:rPr>
          <w:lang w:val="en-GB"/>
        </w:rPr>
        <w:t>provid</w:t>
      </w:r>
      <w:r w:rsidR="00BC62E3">
        <w:rPr>
          <w:lang w:val="en-GB"/>
        </w:rPr>
        <w:t>es</w:t>
      </w:r>
      <w:r w:rsidR="0031673F">
        <w:rPr>
          <w:lang w:val="en-GB"/>
        </w:rPr>
        <w:t xml:space="preserve"> </w:t>
      </w:r>
      <w:r w:rsidR="0031673F">
        <w:rPr>
          <w:lang w:val="en-GB"/>
        </w:rPr>
        <w:t xml:space="preserve">quarterly and annual information </w:t>
      </w:r>
      <w:r w:rsidR="00BC62E3">
        <w:rPr>
          <w:lang w:val="en-GB"/>
        </w:rPr>
        <w:t xml:space="preserve">on </w:t>
      </w:r>
      <w:r w:rsidR="0031673F">
        <w:rPr>
          <w:lang w:val="en-GB"/>
        </w:rPr>
        <w:t xml:space="preserve">employment </w:t>
      </w:r>
      <w:r w:rsidR="0031673F">
        <w:rPr>
          <w:lang w:val="en-GB"/>
        </w:rPr>
        <w:t xml:space="preserve">and labour participation as well as </w:t>
      </w:r>
      <w:r w:rsidR="00BC62E3">
        <w:rPr>
          <w:lang w:val="en-GB"/>
        </w:rPr>
        <w:t xml:space="preserve">on </w:t>
      </w:r>
      <w:r w:rsidR="0031673F">
        <w:rPr>
          <w:lang w:val="en-GB"/>
        </w:rPr>
        <w:t xml:space="preserve">persons outside the labour force. </w:t>
      </w:r>
      <w:r w:rsidR="00D16700">
        <w:rPr>
          <w:lang w:val="en-GB"/>
        </w:rPr>
        <w:t xml:space="preserve">It also covers information about the structure of families and households. The questionnaire on housing allows </w:t>
      </w:r>
      <w:r w:rsidR="00D16700" w:rsidRPr="00973024">
        <w:rPr>
          <w:lang w:val="en-GB"/>
        </w:rPr>
        <w:t>general reporting on</w:t>
      </w:r>
      <w:r w:rsidR="00D16700" w:rsidRPr="002742AF">
        <w:rPr>
          <w:lang w:val="en-GB"/>
        </w:rPr>
        <w:t xml:space="preserve"> housing in Austria with detailed analysis of the housing </w:t>
      </w:r>
      <w:r w:rsidR="00D16700" w:rsidRPr="002742AF">
        <w:rPr>
          <w:lang w:val="en-GB"/>
        </w:rPr>
        <w:lastRenderedPageBreak/>
        <w:t>situation in each federal state of Austria (</w:t>
      </w:r>
      <w:proofErr w:type="spellStart"/>
      <w:r w:rsidR="00D16700" w:rsidRPr="002742AF">
        <w:rPr>
          <w:lang w:val="en-GB"/>
        </w:rPr>
        <w:t>Bundesland</w:t>
      </w:r>
      <w:proofErr w:type="spellEnd"/>
      <w:r w:rsidR="00D16700" w:rsidRPr="002742AF">
        <w:rPr>
          <w:lang w:val="en-GB"/>
        </w:rPr>
        <w:t>)</w:t>
      </w:r>
      <w:r w:rsidR="00D16700">
        <w:rPr>
          <w:lang w:val="en-GB"/>
        </w:rPr>
        <w:t>, stock of dwellings and housing costs of rented dwellings</w:t>
      </w:r>
      <w:r w:rsidR="00176F0B">
        <w:rPr>
          <w:lang w:val="en-GB"/>
        </w:rPr>
        <w:t xml:space="preserve"> (see figure 1)</w:t>
      </w:r>
      <w:r w:rsidR="00D16700" w:rsidRPr="002742AF">
        <w:rPr>
          <w:lang w:val="en-GB"/>
        </w:rPr>
        <w:t>.</w:t>
      </w:r>
      <w:r w:rsidR="00D16700">
        <w:rPr>
          <w:lang w:val="en-GB"/>
        </w:rPr>
        <w:t xml:space="preserve"> </w:t>
      </w:r>
    </w:p>
    <w:p w:rsidR="009D3174" w:rsidRDefault="00D16700" w:rsidP="00D16700">
      <w:pPr>
        <w:rPr>
          <w:lang w:val="en-GB"/>
        </w:rPr>
      </w:pPr>
      <w:r>
        <w:rPr>
          <w:lang w:val="en-GB"/>
        </w:rPr>
        <w:t>The legal base of the Austrian Microcensus is the</w:t>
      </w:r>
      <w:r w:rsidR="007E5309">
        <w:rPr>
          <w:lang w:val="en-GB"/>
        </w:rPr>
        <w:t xml:space="preserve"> </w:t>
      </w:r>
      <w:r w:rsidR="007E5309" w:rsidRPr="007E5309">
        <w:rPr>
          <w:lang w:val="en-GB"/>
        </w:rPr>
        <w:t>national regulation on the organisation of a labour f</w:t>
      </w:r>
      <w:r w:rsidR="00A4344C">
        <w:rPr>
          <w:lang w:val="en-GB"/>
        </w:rPr>
        <w:t>orce and housing sample survey</w:t>
      </w:r>
      <w:r>
        <w:rPr>
          <w:lang w:val="en-GB"/>
        </w:rPr>
        <w:t xml:space="preserve"> (</w:t>
      </w:r>
      <w:proofErr w:type="spellStart"/>
      <w:r w:rsidR="007E5309" w:rsidRPr="00D16700">
        <w:rPr>
          <w:lang w:val="en-GB"/>
        </w:rPr>
        <w:t>EWStV</w:t>
      </w:r>
      <w:proofErr w:type="spellEnd"/>
      <w:r w:rsidR="007E5309" w:rsidRPr="00D16700">
        <w:rPr>
          <w:lang w:val="en-GB"/>
        </w:rPr>
        <w:t xml:space="preserve"> 2010</w:t>
      </w:r>
      <w:r w:rsidR="007E5309">
        <w:rPr>
          <w:lang w:val="en-GB"/>
        </w:rPr>
        <w:t xml:space="preserve"> – </w:t>
      </w:r>
      <w:proofErr w:type="spellStart"/>
      <w:r w:rsidRPr="00D16700">
        <w:rPr>
          <w:lang w:val="en-GB"/>
        </w:rPr>
        <w:t>Erwerbs</w:t>
      </w:r>
      <w:proofErr w:type="spellEnd"/>
      <w:r w:rsidRPr="00D16700">
        <w:rPr>
          <w:lang w:val="en-GB"/>
        </w:rPr>
        <w:t xml:space="preserve">- und </w:t>
      </w:r>
      <w:proofErr w:type="spellStart"/>
      <w:r w:rsidR="00BE699F">
        <w:rPr>
          <w:lang w:val="en-GB"/>
        </w:rPr>
        <w:t>Wohnungs-</w:t>
      </w:r>
      <w:r w:rsidRPr="00D16700">
        <w:rPr>
          <w:lang w:val="en-GB"/>
        </w:rPr>
        <w:t>statistikverordnung</w:t>
      </w:r>
      <w:proofErr w:type="spellEnd"/>
      <w:r w:rsidRPr="00D16700">
        <w:rPr>
          <w:lang w:val="en-GB"/>
        </w:rPr>
        <w:t xml:space="preserve"> 2010</w:t>
      </w:r>
      <w:r>
        <w:rPr>
          <w:lang w:val="en-GB"/>
        </w:rPr>
        <w:t xml:space="preserve">). The </w:t>
      </w:r>
      <w:r w:rsidR="009D3174" w:rsidRPr="002742AF">
        <w:rPr>
          <w:lang w:val="en-GB"/>
        </w:rPr>
        <w:t xml:space="preserve">housing characteristics </w:t>
      </w:r>
      <w:r>
        <w:rPr>
          <w:lang w:val="en-GB"/>
        </w:rPr>
        <w:t xml:space="preserve">which are asked in the survey </w:t>
      </w:r>
      <w:r w:rsidR="009D3174" w:rsidRPr="002742AF">
        <w:rPr>
          <w:lang w:val="en-GB"/>
        </w:rPr>
        <w:t xml:space="preserve">are specified </w:t>
      </w:r>
      <w:r w:rsidR="00BE699F">
        <w:rPr>
          <w:lang w:val="en-GB"/>
        </w:rPr>
        <w:t>by this regulation in</w:t>
      </w:r>
      <w:r>
        <w:rPr>
          <w:lang w:val="en-GB"/>
        </w:rPr>
        <w:t xml:space="preserve"> </w:t>
      </w:r>
      <w:r w:rsidR="00367A75">
        <w:rPr>
          <w:lang w:val="en-GB"/>
        </w:rPr>
        <w:t>detail</w:t>
      </w:r>
      <w:r>
        <w:rPr>
          <w:lang w:val="en-GB"/>
        </w:rPr>
        <w:t xml:space="preserve">. </w:t>
      </w:r>
      <w:r w:rsidR="00955AB3">
        <w:rPr>
          <w:lang w:val="en-GB"/>
        </w:rPr>
        <w:t>The survey q</w:t>
      </w:r>
      <w:r w:rsidR="00955AB3" w:rsidRPr="002742AF">
        <w:rPr>
          <w:lang w:val="en-GB"/>
        </w:rPr>
        <w:t xml:space="preserve">uestions </w:t>
      </w:r>
      <w:r w:rsidR="00955AB3">
        <w:rPr>
          <w:lang w:val="en-GB"/>
        </w:rPr>
        <w:t>on housing are implemented in almost the same formulations</w:t>
      </w:r>
      <w:r w:rsidR="00600D6B">
        <w:rPr>
          <w:lang w:val="en-GB"/>
        </w:rPr>
        <w:t xml:space="preserve"> since 2004</w:t>
      </w:r>
      <w:r w:rsidR="00955AB3">
        <w:rPr>
          <w:lang w:val="en-GB"/>
        </w:rPr>
        <w:t xml:space="preserve">. </w:t>
      </w:r>
      <w:r>
        <w:rPr>
          <w:lang w:val="en-GB"/>
        </w:rPr>
        <w:t>In addition, partici</w:t>
      </w:r>
      <w:r w:rsidR="00176F0B">
        <w:rPr>
          <w:lang w:val="en-GB"/>
        </w:rPr>
        <w:t>pat</w:t>
      </w:r>
      <w:r>
        <w:rPr>
          <w:lang w:val="en-GB"/>
        </w:rPr>
        <w:t>ion</w:t>
      </w:r>
      <w:r w:rsidR="00176F0B">
        <w:rPr>
          <w:lang w:val="en-GB"/>
        </w:rPr>
        <w:t xml:space="preserve"> in the </w:t>
      </w:r>
      <w:r>
        <w:rPr>
          <w:lang w:val="en-GB"/>
        </w:rPr>
        <w:t>Microcensus</w:t>
      </w:r>
      <w:r w:rsidR="00176F0B">
        <w:rPr>
          <w:lang w:val="en-GB"/>
        </w:rPr>
        <w:t xml:space="preserve"> is obligatory for the </w:t>
      </w:r>
      <w:r w:rsidR="00600D6B">
        <w:rPr>
          <w:lang w:val="en-GB"/>
        </w:rPr>
        <w:t xml:space="preserve">sampled </w:t>
      </w:r>
      <w:r w:rsidR="00176F0B">
        <w:rPr>
          <w:lang w:val="en-GB"/>
        </w:rPr>
        <w:t xml:space="preserve">households. Therefore, no further variables and characteristics </w:t>
      </w:r>
      <w:r w:rsidR="00600D6B">
        <w:rPr>
          <w:lang w:val="en-GB"/>
        </w:rPr>
        <w:t xml:space="preserve">besides those listed in the regulation </w:t>
      </w:r>
      <w:r w:rsidR="00176F0B">
        <w:rPr>
          <w:lang w:val="en-GB"/>
        </w:rPr>
        <w:t xml:space="preserve">can be asked within the obligatory part </w:t>
      </w:r>
      <w:r w:rsidR="00BE699F">
        <w:rPr>
          <w:lang w:val="en-GB"/>
        </w:rPr>
        <w:t>of the Microcensus</w:t>
      </w:r>
      <w:r w:rsidR="00176F0B">
        <w:rPr>
          <w:lang w:val="en-GB"/>
        </w:rPr>
        <w:t xml:space="preserve">. </w:t>
      </w:r>
      <w:r>
        <w:rPr>
          <w:lang w:val="en-GB"/>
        </w:rPr>
        <w:t xml:space="preserve"> </w:t>
      </w:r>
    </w:p>
    <w:p w:rsidR="00D120E0" w:rsidRPr="002742AF" w:rsidRDefault="0019721D" w:rsidP="00D120E0">
      <w:pPr>
        <w:rPr>
          <w:lang w:val="en-GB"/>
        </w:rPr>
      </w:pPr>
      <w:r>
        <w:rPr>
          <w:lang w:val="en-GB"/>
        </w:rPr>
        <w:t>EU-SILC is the European Union Statistic on Income and Living</w:t>
      </w:r>
      <w:r w:rsidR="00B851B7">
        <w:rPr>
          <w:lang w:val="en-GB"/>
        </w:rPr>
        <w:t xml:space="preserve"> conditions. In Austria about 6.</w:t>
      </w:r>
      <w:r>
        <w:rPr>
          <w:lang w:val="en-GB"/>
        </w:rPr>
        <w:t xml:space="preserve">000 households are sampled. EU-SILC, together with the LFS, </w:t>
      </w:r>
      <w:r w:rsidR="00600D6B">
        <w:rPr>
          <w:lang w:val="en-GB"/>
        </w:rPr>
        <w:t xml:space="preserve">is </w:t>
      </w:r>
      <w:r>
        <w:rPr>
          <w:lang w:val="en-GB"/>
        </w:rPr>
        <w:t xml:space="preserve">one of the pillars of the </w:t>
      </w:r>
      <w:r w:rsidR="008B7760">
        <w:rPr>
          <w:lang w:val="en-GB"/>
        </w:rPr>
        <w:t>social statistics</w:t>
      </w:r>
      <w:r w:rsidR="003A2F4F">
        <w:rPr>
          <w:lang w:val="en-GB"/>
        </w:rPr>
        <w:t xml:space="preserve"> of the European Statistical System</w:t>
      </w:r>
      <w:r w:rsidR="0005496F">
        <w:rPr>
          <w:lang w:val="en-GB"/>
        </w:rPr>
        <w:t xml:space="preserve">. </w:t>
      </w:r>
      <w:r w:rsidR="00D120E0" w:rsidRPr="00D120E0">
        <w:rPr>
          <w:lang w:val="en-GB"/>
        </w:rPr>
        <w:t>EU-SILC is regulated by a national regulation on statistics on income and living conditions (</w:t>
      </w:r>
      <w:proofErr w:type="spellStart"/>
      <w:r w:rsidR="00D120E0" w:rsidRPr="00D120E0">
        <w:rPr>
          <w:lang w:val="en-GB"/>
        </w:rPr>
        <w:t>ELStV</w:t>
      </w:r>
      <w:proofErr w:type="spellEnd"/>
      <w:r w:rsidR="00D120E0" w:rsidRPr="00D120E0">
        <w:rPr>
          <w:lang w:val="en-GB"/>
        </w:rPr>
        <w:t xml:space="preserve">) and EU-regulations. </w:t>
      </w:r>
      <w:r w:rsidR="003A2F4F">
        <w:rPr>
          <w:lang w:val="en-GB"/>
        </w:rPr>
        <w:t>It</w:t>
      </w:r>
      <w:r w:rsidR="00D120E0" w:rsidRPr="00D120E0">
        <w:rPr>
          <w:lang w:val="en-GB"/>
        </w:rPr>
        <w:t xml:space="preserve"> is output-harmonise</w:t>
      </w:r>
      <w:r w:rsidR="00600D6B">
        <w:rPr>
          <w:lang w:val="en-GB"/>
        </w:rPr>
        <w:t xml:space="preserve">d, i.e. </w:t>
      </w:r>
      <w:r w:rsidR="00D120E0" w:rsidRPr="00D120E0">
        <w:rPr>
          <w:lang w:val="en-GB"/>
        </w:rPr>
        <w:t>EU-regulations provide the methodological and definitional framework and definitions of the target variables. This framework defines the minimum requirement of the national survey and questionnaire, leaving a certain area of discretion for nationally required question</w:t>
      </w:r>
      <w:r w:rsidR="00600D6B">
        <w:rPr>
          <w:lang w:val="en-GB"/>
        </w:rPr>
        <w:t>s</w:t>
      </w:r>
      <w:r w:rsidR="00D120E0" w:rsidRPr="00D120E0">
        <w:rPr>
          <w:lang w:val="en-GB"/>
        </w:rPr>
        <w:t xml:space="preserve"> and the design of the final national que</w:t>
      </w:r>
      <w:r w:rsidR="00D120E0">
        <w:rPr>
          <w:lang w:val="en-GB"/>
        </w:rPr>
        <w:t>stionnaire. A</w:t>
      </w:r>
      <w:r w:rsidR="00D120E0" w:rsidRPr="00D120E0">
        <w:rPr>
          <w:lang w:val="en-GB"/>
        </w:rPr>
        <w:t xml:space="preserve">s part of a cross-national comparative survey </w:t>
      </w:r>
      <w:r w:rsidR="00D120E0">
        <w:rPr>
          <w:lang w:val="en-GB"/>
        </w:rPr>
        <w:t xml:space="preserve">EU-SILC in Austria </w:t>
      </w:r>
      <w:r w:rsidR="00600D6B">
        <w:rPr>
          <w:lang w:val="en-GB"/>
        </w:rPr>
        <w:t>also</w:t>
      </w:r>
      <w:r w:rsidR="00B05823">
        <w:rPr>
          <w:lang w:val="en-GB"/>
        </w:rPr>
        <w:t xml:space="preserve"> </w:t>
      </w:r>
      <w:r w:rsidR="00D120E0" w:rsidRPr="00D120E0">
        <w:rPr>
          <w:lang w:val="en-GB"/>
        </w:rPr>
        <w:t>requires the coordination with other German-speaking countries concerning the</w:t>
      </w:r>
      <w:r w:rsidR="00D120E0">
        <w:rPr>
          <w:lang w:val="en-GB"/>
        </w:rPr>
        <w:t xml:space="preserve"> </w:t>
      </w:r>
      <w:r w:rsidR="00B53776">
        <w:rPr>
          <w:lang w:val="en-GB"/>
        </w:rPr>
        <w:t>wording</w:t>
      </w:r>
      <w:r w:rsidR="00D120E0">
        <w:rPr>
          <w:lang w:val="en-GB"/>
        </w:rPr>
        <w:t xml:space="preserve"> </w:t>
      </w:r>
      <w:r w:rsidR="00D120E0" w:rsidRPr="00D120E0">
        <w:rPr>
          <w:lang w:val="en-GB"/>
        </w:rPr>
        <w:t>(see figure 1).</w:t>
      </w:r>
    </w:p>
    <w:p w:rsidR="00176F0B" w:rsidRPr="002742AF" w:rsidRDefault="00176F0B" w:rsidP="00176F0B">
      <w:pPr>
        <w:rPr>
          <w:lang w:val="en-GB"/>
        </w:rPr>
      </w:pPr>
      <w:r w:rsidRPr="00176F0B">
        <w:rPr>
          <w:lang w:val="en-GB"/>
        </w:rPr>
        <w:t>The Household Budget Survey provide</w:t>
      </w:r>
      <w:r w:rsidR="001B1D04">
        <w:rPr>
          <w:lang w:val="en-GB"/>
        </w:rPr>
        <w:t>s</w:t>
      </w:r>
      <w:r w:rsidRPr="00176F0B">
        <w:rPr>
          <w:lang w:val="en-GB"/>
        </w:rPr>
        <w:t xml:space="preserve"> information on the consumption expenditure of private households</w:t>
      </w:r>
      <w:r w:rsidR="001B1D04">
        <w:rPr>
          <w:lang w:val="en-GB"/>
        </w:rPr>
        <w:t xml:space="preserve"> and is </w:t>
      </w:r>
      <w:r w:rsidRPr="00176F0B">
        <w:rPr>
          <w:lang w:val="en-GB"/>
        </w:rPr>
        <w:t xml:space="preserve">conducted as sample survey among private households. </w:t>
      </w:r>
      <w:r w:rsidR="001B1D04" w:rsidRPr="00176F0B">
        <w:rPr>
          <w:lang w:val="en-GB"/>
        </w:rPr>
        <w:t>The results give an insight into the consumer habits of Austrian households and provide information on the living standard and living condit</w:t>
      </w:r>
      <w:r w:rsidR="001B1D04">
        <w:rPr>
          <w:lang w:val="en-GB"/>
        </w:rPr>
        <w:t>ions of different social groups</w:t>
      </w:r>
      <w:r w:rsidR="001B1D04" w:rsidRPr="00176F0B">
        <w:rPr>
          <w:lang w:val="en-GB"/>
        </w:rPr>
        <w:t xml:space="preserve"> </w:t>
      </w:r>
      <w:r w:rsidR="00CD3D50">
        <w:rPr>
          <w:lang w:val="en-GB"/>
        </w:rPr>
        <w:t>[4</w:t>
      </w:r>
      <w:r w:rsidR="001B1D04">
        <w:rPr>
          <w:lang w:val="en-GB"/>
        </w:rPr>
        <w:t>]</w:t>
      </w:r>
      <w:r w:rsidRPr="00176F0B">
        <w:rPr>
          <w:lang w:val="en-GB"/>
        </w:rPr>
        <w:t xml:space="preserve">. </w:t>
      </w:r>
      <w:r w:rsidR="002C1EAA" w:rsidRPr="00176F0B">
        <w:rPr>
          <w:lang w:val="en-GB"/>
        </w:rPr>
        <w:t xml:space="preserve">The </w:t>
      </w:r>
      <w:r w:rsidR="001C4034">
        <w:rPr>
          <w:lang w:val="en-GB"/>
        </w:rPr>
        <w:t>HBS</w:t>
      </w:r>
      <w:r w:rsidR="002C1EAA" w:rsidRPr="00176F0B">
        <w:rPr>
          <w:lang w:val="en-GB"/>
        </w:rPr>
        <w:t xml:space="preserve"> i</w:t>
      </w:r>
      <w:r w:rsidR="002C1EAA">
        <w:rPr>
          <w:lang w:val="en-GB"/>
        </w:rPr>
        <w:t>s carried out every five years; the next survey will be conducted in 2014/15</w:t>
      </w:r>
      <w:r w:rsidR="002C1EAA" w:rsidRPr="00176F0B">
        <w:rPr>
          <w:lang w:val="en-GB"/>
        </w:rPr>
        <w:t>.</w:t>
      </w:r>
      <w:r w:rsidR="009F276C">
        <w:rPr>
          <w:lang w:val="en-GB"/>
        </w:rPr>
        <w:t xml:space="preserve"> </w:t>
      </w:r>
      <w:r w:rsidR="001B1D04">
        <w:rPr>
          <w:lang w:val="en-GB"/>
        </w:rPr>
        <w:t>With regard to housing statistics, t</w:t>
      </w:r>
      <w:r w:rsidR="001B1D04" w:rsidRPr="002742AF">
        <w:rPr>
          <w:lang w:val="en-GB"/>
        </w:rPr>
        <w:t xml:space="preserve">he focus is </w:t>
      </w:r>
      <w:r w:rsidR="008020AC">
        <w:rPr>
          <w:lang w:val="en-GB"/>
        </w:rPr>
        <w:t xml:space="preserve">on </w:t>
      </w:r>
      <w:r w:rsidR="001B1D04" w:rsidRPr="002742AF">
        <w:rPr>
          <w:lang w:val="en-GB"/>
        </w:rPr>
        <w:t>housing in the context of the consumption structure of private households</w:t>
      </w:r>
      <w:r w:rsidR="009F276C">
        <w:rPr>
          <w:lang w:val="en-GB"/>
        </w:rPr>
        <w:t xml:space="preserve"> and in particular for different household types. </w:t>
      </w:r>
      <w:r w:rsidR="002C1EAA">
        <w:rPr>
          <w:lang w:val="en-GB"/>
        </w:rPr>
        <w:t xml:space="preserve">The legal framework of the </w:t>
      </w:r>
      <w:r w:rsidR="001C4034">
        <w:rPr>
          <w:lang w:val="en-GB"/>
        </w:rPr>
        <w:t>HBS</w:t>
      </w:r>
      <w:r w:rsidR="009F276C">
        <w:rPr>
          <w:lang w:val="en-GB"/>
        </w:rPr>
        <w:t xml:space="preserve"> is the</w:t>
      </w:r>
      <w:r w:rsidR="002C1EAA">
        <w:rPr>
          <w:lang w:val="en-GB"/>
        </w:rPr>
        <w:t xml:space="preserve"> </w:t>
      </w:r>
      <w:r w:rsidR="009F276C">
        <w:rPr>
          <w:lang w:val="en-GB"/>
        </w:rPr>
        <w:t xml:space="preserve">EU regulation for </w:t>
      </w:r>
      <w:r w:rsidR="009F276C" w:rsidRPr="009F276C">
        <w:rPr>
          <w:lang w:val="en-GB"/>
        </w:rPr>
        <w:t>HICP</w:t>
      </w:r>
      <w:r w:rsidR="002C1EAA">
        <w:rPr>
          <w:lang w:val="en-GB"/>
        </w:rPr>
        <w:t xml:space="preserve"> which does not specify </w:t>
      </w:r>
      <w:r w:rsidRPr="002742AF">
        <w:rPr>
          <w:lang w:val="en-GB"/>
        </w:rPr>
        <w:t>housing characteristics</w:t>
      </w:r>
      <w:r w:rsidR="009F276C">
        <w:rPr>
          <w:lang w:val="en-GB"/>
        </w:rPr>
        <w:t xml:space="preserve"> in detail</w:t>
      </w:r>
      <w:r w:rsidR="002C1EAA">
        <w:rPr>
          <w:lang w:val="en-GB"/>
        </w:rPr>
        <w:t>.</w:t>
      </w:r>
      <w:r w:rsidRPr="002742AF">
        <w:rPr>
          <w:lang w:val="en-GB"/>
        </w:rPr>
        <w:t xml:space="preserve"> </w:t>
      </w:r>
    </w:p>
    <w:p w:rsidR="002C1EAA" w:rsidRDefault="002C1EAA" w:rsidP="00065077">
      <w:pPr>
        <w:rPr>
          <w:lang w:val="en-GB"/>
        </w:rPr>
      </w:pPr>
    </w:p>
    <w:p w:rsidR="00065077" w:rsidRPr="002742AF" w:rsidRDefault="00065077" w:rsidP="00A4344C">
      <w:pPr>
        <w:keepNext/>
        <w:rPr>
          <w:lang w:val="en-GB"/>
        </w:rPr>
      </w:pPr>
      <w:r>
        <w:rPr>
          <w:lang w:val="en-GB"/>
        </w:rPr>
        <w:lastRenderedPageBreak/>
        <w:t xml:space="preserve">Figure 1: </w:t>
      </w:r>
      <w:r w:rsidR="00A5442E">
        <w:rPr>
          <w:lang w:val="en-GB"/>
        </w:rPr>
        <w:t>The main c</w:t>
      </w:r>
      <w:r w:rsidRPr="002742AF">
        <w:rPr>
          <w:lang w:val="en-GB"/>
        </w:rPr>
        <w:t xml:space="preserve">ontents of </w:t>
      </w:r>
      <w:r w:rsidR="00A5442E">
        <w:rPr>
          <w:lang w:val="en-GB"/>
        </w:rPr>
        <w:t xml:space="preserve">the </w:t>
      </w:r>
      <w:r w:rsidRPr="002742AF">
        <w:rPr>
          <w:lang w:val="en-GB"/>
        </w:rPr>
        <w:t xml:space="preserve">surveys and </w:t>
      </w:r>
      <w:r w:rsidR="00A5442E">
        <w:rPr>
          <w:lang w:val="en-GB"/>
        </w:rPr>
        <w:t>their legal frameworks</w:t>
      </w:r>
    </w:p>
    <w:p w:rsidR="00A4344C" w:rsidRDefault="00FF6301" w:rsidP="00A4344C">
      <w:pPr>
        <w:rPr>
          <w:lang w:val="en-GB"/>
        </w:rPr>
      </w:pPr>
      <w:r>
        <w:rPr>
          <w:noProof/>
        </w:rPr>
        <w:drawing>
          <wp:inline distT="0" distB="0" distL="0" distR="0" wp14:anchorId="47FDA3AD" wp14:editId="687CFAC3">
            <wp:extent cx="5965371" cy="3460671"/>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500" cy="3463067"/>
                    </a:xfrm>
                    <a:prstGeom prst="rect">
                      <a:avLst/>
                    </a:prstGeom>
                    <a:noFill/>
                  </pic:spPr>
                </pic:pic>
              </a:graphicData>
            </a:graphic>
          </wp:inline>
        </w:drawing>
      </w:r>
    </w:p>
    <w:p w:rsidR="00A4344C" w:rsidRDefault="00A4344C" w:rsidP="00065077">
      <w:pPr>
        <w:rPr>
          <w:lang w:val="en-GB"/>
        </w:rPr>
      </w:pPr>
    </w:p>
    <w:p w:rsidR="002C1EAA" w:rsidRPr="002742AF" w:rsidRDefault="00F5200C" w:rsidP="002C1EAA">
      <w:pPr>
        <w:rPr>
          <w:lang w:val="en-GB"/>
        </w:rPr>
      </w:pPr>
      <w:r>
        <w:rPr>
          <w:lang w:val="en-GB"/>
        </w:rPr>
        <w:t xml:space="preserve">To sum up, harmonisation of housing characteristics has to consider different aims and core topics of the three surveys, as well as </w:t>
      </w:r>
      <w:r w:rsidR="002C1EAA" w:rsidRPr="002742AF">
        <w:rPr>
          <w:lang w:val="en-GB"/>
        </w:rPr>
        <w:t>different legal requirements and specifications.</w:t>
      </w:r>
      <w:r>
        <w:rPr>
          <w:lang w:val="en-GB"/>
        </w:rPr>
        <w:t xml:space="preserve"> </w:t>
      </w:r>
      <w:r w:rsidR="00B32831">
        <w:rPr>
          <w:lang w:val="en-GB"/>
        </w:rPr>
        <w:t xml:space="preserve">However, </w:t>
      </w:r>
      <w:r>
        <w:rPr>
          <w:lang w:val="en-GB"/>
        </w:rPr>
        <w:t>there are not only different interests and frameworks of the</w:t>
      </w:r>
      <w:r w:rsidR="0005496F">
        <w:rPr>
          <w:lang w:val="en-GB"/>
        </w:rPr>
        <w:t>se</w:t>
      </w:r>
      <w:r>
        <w:rPr>
          <w:lang w:val="en-GB"/>
        </w:rPr>
        <w:t xml:space="preserve"> surveys</w:t>
      </w:r>
      <w:r w:rsidR="003A2F4F">
        <w:rPr>
          <w:lang w:val="en-GB"/>
        </w:rPr>
        <w:t xml:space="preserve">. </w:t>
      </w:r>
      <w:r w:rsidR="00B32831">
        <w:rPr>
          <w:lang w:val="en-GB"/>
        </w:rPr>
        <w:t xml:space="preserve">They also </w:t>
      </w:r>
      <w:r>
        <w:rPr>
          <w:lang w:val="en-GB"/>
        </w:rPr>
        <w:t>show a high level of interrelations and interdependences. This does demand harmonisation on the one hand, but also makes harmo</w:t>
      </w:r>
      <w:r w:rsidR="00331635">
        <w:rPr>
          <w:lang w:val="en-GB"/>
        </w:rPr>
        <w:t xml:space="preserve">nisation difficult on the other. </w:t>
      </w:r>
      <w:r>
        <w:rPr>
          <w:lang w:val="en-GB"/>
        </w:rPr>
        <w:t xml:space="preserve"> </w:t>
      </w:r>
    </w:p>
    <w:p w:rsidR="007257B9" w:rsidRPr="007257B9" w:rsidRDefault="007257B9" w:rsidP="00065077">
      <w:pPr>
        <w:rPr>
          <w:lang w:val="en-GB"/>
        </w:rPr>
      </w:pPr>
      <w:r>
        <w:rPr>
          <w:lang w:val="en-GB"/>
        </w:rPr>
        <w:t xml:space="preserve">The </w:t>
      </w:r>
      <w:r w:rsidRPr="002742AF">
        <w:rPr>
          <w:lang w:val="en-GB"/>
        </w:rPr>
        <w:t xml:space="preserve">questions on housing </w:t>
      </w:r>
      <w:r w:rsidR="00B32831">
        <w:rPr>
          <w:lang w:val="en-GB"/>
        </w:rPr>
        <w:t>in</w:t>
      </w:r>
      <w:r w:rsidR="00B32831" w:rsidRPr="002742AF">
        <w:rPr>
          <w:lang w:val="en-GB"/>
        </w:rPr>
        <w:t xml:space="preserve"> </w:t>
      </w:r>
      <w:r w:rsidRPr="002742AF">
        <w:rPr>
          <w:lang w:val="en-GB"/>
        </w:rPr>
        <w:t>each survey refer to the questions of the other surveys</w:t>
      </w:r>
      <w:r>
        <w:rPr>
          <w:lang w:val="en-GB"/>
        </w:rPr>
        <w:t xml:space="preserve">, </w:t>
      </w:r>
      <w:r w:rsidR="00B32831">
        <w:rPr>
          <w:lang w:val="en-GB"/>
        </w:rPr>
        <w:t>in two particular aspects</w:t>
      </w:r>
      <w:r>
        <w:rPr>
          <w:lang w:val="en-GB"/>
        </w:rPr>
        <w:t xml:space="preserve">. </w:t>
      </w:r>
      <w:r>
        <w:rPr>
          <w:lang w:val="en-GB"/>
        </w:rPr>
        <w:t xml:space="preserve">On the one hand, the Microcensus is the </w:t>
      </w:r>
      <w:r w:rsidRPr="002742AF">
        <w:rPr>
          <w:lang w:val="en-GB"/>
        </w:rPr>
        <w:t>reference mark with regard to data quality</w:t>
      </w:r>
      <w:r>
        <w:rPr>
          <w:lang w:val="en-GB"/>
        </w:rPr>
        <w:t xml:space="preserve"> for EU-SILC and the H</w:t>
      </w:r>
      <w:r w:rsidR="001C4034">
        <w:rPr>
          <w:lang w:val="en-GB"/>
        </w:rPr>
        <w:t>BS</w:t>
      </w:r>
      <w:r>
        <w:rPr>
          <w:lang w:val="en-GB"/>
        </w:rPr>
        <w:t>. On the other hand</w:t>
      </w:r>
      <w:r w:rsidR="00007F1F">
        <w:rPr>
          <w:lang w:val="en-GB"/>
        </w:rPr>
        <w:t>,</w:t>
      </w:r>
      <w:r>
        <w:rPr>
          <w:lang w:val="en-GB"/>
        </w:rPr>
        <w:t xml:space="preserve"> it also is the </w:t>
      </w:r>
      <w:r w:rsidRPr="002742AF">
        <w:rPr>
          <w:lang w:val="en-GB"/>
        </w:rPr>
        <w:t>donor dataset for the estimation of imputed rents</w:t>
      </w:r>
      <w:r w:rsidR="00217996">
        <w:rPr>
          <w:lang w:val="en-GB"/>
        </w:rPr>
        <w:t xml:space="preserve"> (see figure 2)</w:t>
      </w:r>
      <w:r w:rsidRPr="002742AF">
        <w:rPr>
          <w:lang w:val="en-GB"/>
        </w:rPr>
        <w:t>.</w:t>
      </w:r>
      <w:r>
        <w:rPr>
          <w:lang w:val="en-GB"/>
        </w:rPr>
        <w:t xml:space="preserve"> </w:t>
      </w:r>
      <w:r w:rsidRPr="00331635">
        <w:rPr>
          <w:lang w:val="en-GB"/>
        </w:rPr>
        <w:t xml:space="preserve">Furthermore, the </w:t>
      </w:r>
      <w:r w:rsidR="001C4034">
        <w:rPr>
          <w:lang w:val="en-GB"/>
        </w:rPr>
        <w:t>HBS</w:t>
      </w:r>
      <w:r w:rsidRPr="00331635">
        <w:rPr>
          <w:lang w:val="en-GB"/>
        </w:rPr>
        <w:t xml:space="preserve"> is the donor dataset for maintenance costs</w:t>
      </w:r>
      <w:r w:rsidR="00B05823">
        <w:rPr>
          <w:lang w:val="en-GB"/>
        </w:rPr>
        <w:t xml:space="preserve"> in </w:t>
      </w:r>
      <w:r w:rsidRPr="00331635">
        <w:rPr>
          <w:lang w:val="en-GB"/>
        </w:rPr>
        <w:t xml:space="preserve">EU-SILC. </w:t>
      </w:r>
      <w:r w:rsidR="00F650B6">
        <w:rPr>
          <w:lang w:val="en-GB"/>
        </w:rPr>
        <w:t>T</w:t>
      </w:r>
      <w:r w:rsidR="00331635" w:rsidRPr="00331635">
        <w:rPr>
          <w:lang w:val="en-GB"/>
        </w:rPr>
        <w:t xml:space="preserve">he average of the maintenance costs </w:t>
      </w:r>
      <w:r w:rsidR="00F650B6">
        <w:rPr>
          <w:lang w:val="en-GB"/>
        </w:rPr>
        <w:t>is</w:t>
      </w:r>
      <w:r w:rsidR="00331635" w:rsidRPr="00331635">
        <w:rPr>
          <w:lang w:val="en-GB"/>
        </w:rPr>
        <w:t xml:space="preserve"> used for the calculation of the total household costs</w:t>
      </w:r>
      <w:r w:rsidR="00F650B6">
        <w:rPr>
          <w:lang w:val="en-GB"/>
        </w:rPr>
        <w:t xml:space="preserve"> in EU-SILC</w:t>
      </w:r>
      <w:r w:rsidR="00331635" w:rsidRPr="00331635">
        <w:rPr>
          <w:lang w:val="en-GB"/>
        </w:rPr>
        <w:t>.</w:t>
      </w:r>
      <w:r w:rsidR="0005496F">
        <w:rPr>
          <w:lang w:val="en-GB"/>
        </w:rPr>
        <w:t xml:space="preserve"> </w:t>
      </w:r>
    </w:p>
    <w:p w:rsidR="00065077" w:rsidRPr="00DD3870" w:rsidRDefault="000D3D75" w:rsidP="00065077">
      <w:pPr>
        <w:rPr>
          <w:lang w:val="en-GB"/>
        </w:rPr>
      </w:pPr>
      <w:r>
        <w:rPr>
          <w:lang w:val="en-GB"/>
        </w:rPr>
        <w:t>A</w:t>
      </w:r>
      <w:r w:rsidR="007257B9">
        <w:rPr>
          <w:lang w:val="en-GB"/>
        </w:rPr>
        <w:t xml:space="preserve">s shown in </w:t>
      </w:r>
      <w:r>
        <w:rPr>
          <w:lang w:val="en-GB"/>
        </w:rPr>
        <w:t xml:space="preserve">figure 2, there are </w:t>
      </w:r>
      <w:r w:rsidR="00B32831">
        <w:rPr>
          <w:lang w:val="en-GB"/>
        </w:rPr>
        <w:t>further</w:t>
      </w:r>
      <w:r>
        <w:rPr>
          <w:lang w:val="en-GB"/>
        </w:rPr>
        <w:t xml:space="preserve"> </w:t>
      </w:r>
      <w:r>
        <w:rPr>
          <w:lang w:val="en-GB"/>
        </w:rPr>
        <w:t xml:space="preserve">interdependences </w:t>
      </w:r>
      <w:r w:rsidR="00065077" w:rsidRPr="002742AF">
        <w:rPr>
          <w:lang w:val="en-GB"/>
        </w:rPr>
        <w:t>within housing statistics</w:t>
      </w:r>
      <w:r>
        <w:rPr>
          <w:lang w:val="en-GB"/>
        </w:rPr>
        <w:t xml:space="preserve"> and essential indicators</w:t>
      </w:r>
      <w:r w:rsidR="00F650B6">
        <w:rPr>
          <w:lang w:val="en-GB"/>
        </w:rPr>
        <w:t xml:space="preserve"> produced by Statistics Austria</w:t>
      </w:r>
      <w:r>
        <w:rPr>
          <w:lang w:val="en-GB"/>
        </w:rPr>
        <w:t xml:space="preserve">. The </w:t>
      </w:r>
      <w:r w:rsidR="00065077" w:rsidRPr="002742AF">
        <w:rPr>
          <w:lang w:val="en-GB"/>
        </w:rPr>
        <w:t xml:space="preserve">Microcensus </w:t>
      </w:r>
      <w:r>
        <w:rPr>
          <w:lang w:val="en-GB"/>
        </w:rPr>
        <w:t>also</w:t>
      </w:r>
      <w:r w:rsidR="00B32831" w:rsidRPr="00B32831">
        <w:rPr>
          <w:lang w:val="en-GB"/>
        </w:rPr>
        <w:t xml:space="preserve"> </w:t>
      </w:r>
      <w:r w:rsidR="00B32831">
        <w:rPr>
          <w:lang w:val="en-GB"/>
        </w:rPr>
        <w:t>serves</w:t>
      </w:r>
      <w:r w:rsidR="00F650B6">
        <w:rPr>
          <w:lang w:val="en-GB"/>
        </w:rPr>
        <w:t xml:space="preserve"> </w:t>
      </w:r>
      <w:r w:rsidR="00F650B6">
        <w:rPr>
          <w:lang w:val="en-GB"/>
        </w:rPr>
        <w:t>as donor dataset for the estimation of imputed re</w:t>
      </w:r>
      <w:r w:rsidR="00B32831">
        <w:rPr>
          <w:lang w:val="en-GB"/>
        </w:rPr>
        <w:t>n</w:t>
      </w:r>
      <w:r w:rsidR="00F650B6">
        <w:rPr>
          <w:lang w:val="en-GB"/>
        </w:rPr>
        <w:t>ts</w:t>
      </w:r>
      <w:r>
        <w:rPr>
          <w:lang w:val="en-GB"/>
        </w:rPr>
        <w:t xml:space="preserve"> f</w:t>
      </w:r>
      <w:r w:rsidRPr="00331635">
        <w:rPr>
          <w:lang w:val="en-GB"/>
        </w:rPr>
        <w:t xml:space="preserve">or the </w:t>
      </w:r>
      <w:r w:rsidR="00065077" w:rsidRPr="00331635">
        <w:rPr>
          <w:lang w:val="en-GB"/>
        </w:rPr>
        <w:t xml:space="preserve">National accounts. </w:t>
      </w:r>
    </w:p>
    <w:p w:rsidR="00065077" w:rsidRDefault="00065077" w:rsidP="00065077">
      <w:pPr>
        <w:rPr>
          <w:lang w:val="en-GB"/>
        </w:rPr>
      </w:pPr>
      <w:r w:rsidRPr="002742AF">
        <w:rPr>
          <w:lang w:val="en-GB"/>
        </w:rPr>
        <w:t xml:space="preserve">In addition, the Microcensus is donor dataset for </w:t>
      </w:r>
      <w:r>
        <w:rPr>
          <w:lang w:val="en-GB"/>
        </w:rPr>
        <w:t>housing cost</w:t>
      </w:r>
      <w:r w:rsidR="00B32831">
        <w:rPr>
          <w:lang w:val="en-GB"/>
        </w:rPr>
        <w:t>s</w:t>
      </w:r>
      <w:r>
        <w:rPr>
          <w:lang w:val="en-GB"/>
        </w:rPr>
        <w:t xml:space="preserve"> of the </w:t>
      </w:r>
      <w:r w:rsidRPr="002742AF">
        <w:rPr>
          <w:lang w:val="en-GB"/>
        </w:rPr>
        <w:t xml:space="preserve">consumer price index (CPI) </w:t>
      </w:r>
      <w:r>
        <w:rPr>
          <w:lang w:val="en-GB"/>
        </w:rPr>
        <w:t xml:space="preserve">as a </w:t>
      </w:r>
      <w:r w:rsidRPr="002742AF">
        <w:rPr>
          <w:lang w:val="en-GB"/>
        </w:rPr>
        <w:t>measure of general price trends and of inflation in Austria</w:t>
      </w:r>
      <w:r>
        <w:rPr>
          <w:lang w:val="en-GB"/>
        </w:rPr>
        <w:t xml:space="preserve"> as well as t</w:t>
      </w:r>
      <w:r w:rsidRPr="002742AF">
        <w:rPr>
          <w:lang w:val="en-GB"/>
        </w:rPr>
        <w:t>he harmonised index of consumer prices (HICP)</w:t>
      </w:r>
      <w:r>
        <w:rPr>
          <w:lang w:val="en-GB"/>
        </w:rPr>
        <w:t xml:space="preserve"> which</w:t>
      </w:r>
      <w:r w:rsidRPr="002742AF">
        <w:rPr>
          <w:lang w:val="en-GB"/>
        </w:rPr>
        <w:t xml:space="preserve"> is the bas</w:t>
      </w:r>
      <w:r w:rsidR="00B05823">
        <w:rPr>
          <w:lang w:val="en-GB"/>
        </w:rPr>
        <w:t>e</w:t>
      </w:r>
      <w:r w:rsidRPr="002742AF">
        <w:rPr>
          <w:lang w:val="en-GB"/>
        </w:rPr>
        <w:t xml:space="preserve"> for a comparative measurement of inflation in Europe</w:t>
      </w:r>
      <w:r>
        <w:rPr>
          <w:lang w:val="en-GB"/>
        </w:rPr>
        <w:t>.</w:t>
      </w:r>
      <w:r w:rsidR="008020AC">
        <w:rPr>
          <w:lang w:val="en-GB"/>
        </w:rPr>
        <w:t xml:space="preserve"> Rents and running costs of rented dwellings </w:t>
      </w:r>
      <w:r w:rsidR="00F650B6">
        <w:rPr>
          <w:lang w:val="en-GB"/>
        </w:rPr>
        <w:t xml:space="preserve">of the Microcensus </w:t>
      </w:r>
      <w:r w:rsidR="008020AC">
        <w:rPr>
          <w:lang w:val="en-GB"/>
        </w:rPr>
        <w:t xml:space="preserve">are integrated in these monthly indices. </w:t>
      </w:r>
    </w:p>
    <w:p w:rsidR="000447D0" w:rsidRDefault="000447D0" w:rsidP="00065077">
      <w:pPr>
        <w:rPr>
          <w:lang w:val="en-GB"/>
        </w:rPr>
      </w:pPr>
    </w:p>
    <w:p w:rsidR="00065077" w:rsidRDefault="00065077" w:rsidP="00065077">
      <w:pPr>
        <w:rPr>
          <w:lang w:val="en-GB"/>
        </w:rPr>
      </w:pPr>
      <w:r w:rsidRPr="002764B2">
        <w:rPr>
          <w:lang w:val="en-GB"/>
        </w:rPr>
        <w:t>Figure 2: Inter</w:t>
      </w:r>
      <w:r>
        <w:rPr>
          <w:lang w:val="en-GB"/>
        </w:rPr>
        <w:t xml:space="preserve">dependences </w:t>
      </w:r>
      <w:r w:rsidRPr="002764B2">
        <w:rPr>
          <w:lang w:val="en-GB"/>
        </w:rPr>
        <w:t>of the main surveys and projects using data on housing</w:t>
      </w:r>
      <w:r>
        <w:rPr>
          <w:lang w:val="en-GB"/>
        </w:rPr>
        <w:t xml:space="preserve"> within Statistics Austria</w:t>
      </w:r>
    </w:p>
    <w:p w:rsidR="00A4590B" w:rsidRDefault="00A4590B" w:rsidP="00065077">
      <w:pPr>
        <w:rPr>
          <w:lang w:val="en-GB"/>
        </w:rPr>
      </w:pPr>
      <w:r>
        <w:rPr>
          <w:noProof/>
        </w:rPr>
        <w:drawing>
          <wp:inline distT="0" distB="0" distL="0" distR="0" wp14:anchorId="3479395F">
            <wp:extent cx="5954935" cy="3454617"/>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607" cy="3456167"/>
                    </a:xfrm>
                    <a:prstGeom prst="rect">
                      <a:avLst/>
                    </a:prstGeom>
                    <a:noFill/>
                  </pic:spPr>
                </pic:pic>
              </a:graphicData>
            </a:graphic>
          </wp:inline>
        </w:drawing>
      </w:r>
    </w:p>
    <w:p w:rsidR="00065077" w:rsidRPr="002742AF" w:rsidRDefault="00065077" w:rsidP="002C26DB">
      <w:pPr>
        <w:rPr>
          <w:lang w:val="en-GB"/>
        </w:rPr>
      </w:pPr>
    </w:p>
    <w:p w:rsidR="004D2F94" w:rsidRPr="002742AF" w:rsidRDefault="004D2F94" w:rsidP="004D2F94">
      <w:pPr>
        <w:pStyle w:val="berschrift1"/>
        <w:rPr>
          <w:lang w:val="en-GB"/>
        </w:rPr>
      </w:pPr>
      <w:r w:rsidRPr="002742AF">
        <w:rPr>
          <w:lang w:val="en-GB"/>
        </w:rPr>
        <w:t>Harmonising questions – harmonising variables</w:t>
      </w:r>
    </w:p>
    <w:p w:rsidR="00217996" w:rsidRDefault="00217996" w:rsidP="00217996">
      <w:pPr>
        <w:rPr>
          <w:lang w:val="en-GB"/>
        </w:rPr>
      </w:pPr>
      <w:r>
        <w:rPr>
          <w:lang w:val="en-GB"/>
        </w:rPr>
        <w:t>T</w:t>
      </w:r>
      <w:r w:rsidRPr="00983CA9">
        <w:rPr>
          <w:lang w:val="en-GB"/>
        </w:rPr>
        <w:t xml:space="preserve">he aim </w:t>
      </w:r>
      <w:r>
        <w:rPr>
          <w:lang w:val="en-GB"/>
        </w:rPr>
        <w:t>of harmonis</w:t>
      </w:r>
      <w:r w:rsidR="00C107B2">
        <w:rPr>
          <w:lang w:val="en-GB"/>
        </w:rPr>
        <w:t xml:space="preserve">ing </w:t>
      </w:r>
      <w:r>
        <w:rPr>
          <w:lang w:val="en-GB"/>
        </w:rPr>
        <w:t xml:space="preserve">housing questions </w:t>
      </w:r>
      <w:r w:rsidRPr="00983CA9">
        <w:rPr>
          <w:lang w:val="en-GB"/>
        </w:rPr>
        <w:t xml:space="preserve">was not to come up with completely standardised national survey </w:t>
      </w:r>
      <w:r>
        <w:rPr>
          <w:lang w:val="en-GB"/>
        </w:rPr>
        <w:t>questionnaire</w:t>
      </w:r>
      <w:r w:rsidRPr="00983CA9">
        <w:rPr>
          <w:lang w:val="en-GB"/>
        </w:rPr>
        <w:t>s</w:t>
      </w:r>
      <w:r>
        <w:rPr>
          <w:lang w:val="en-GB"/>
        </w:rPr>
        <w:t xml:space="preserve"> for housing</w:t>
      </w:r>
      <w:r w:rsidRPr="00983CA9">
        <w:rPr>
          <w:lang w:val="en-GB"/>
        </w:rPr>
        <w:t>, but to harmonise those questions which are highly interdependent with regard to analysis and reporting</w:t>
      </w:r>
      <w:r>
        <w:rPr>
          <w:lang w:val="en-GB"/>
        </w:rPr>
        <w:t xml:space="preserve">. It was not necessary (and possible) to construct </w:t>
      </w:r>
      <w:r w:rsidRPr="00983CA9">
        <w:rPr>
          <w:lang w:val="en-GB"/>
        </w:rPr>
        <w:t>exactly the same measurement instrument</w:t>
      </w:r>
      <w:r w:rsidR="00E8235C">
        <w:rPr>
          <w:lang w:val="en-GB"/>
        </w:rPr>
        <w:t xml:space="preserve"> to cover the topic “housing”</w:t>
      </w:r>
      <w:r w:rsidRPr="00983CA9">
        <w:rPr>
          <w:lang w:val="en-GB"/>
        </w:rPr>
        <w:t xml:space="preserve">, but </w:t>
      </w:r>
      <w:r>
        <w:rPr>
          <w:lang w:val="en-GB"/>
        </w:rPr>
        <w:t xml:space="preserve">to </w:t>
      </w:r>
      <w:r w:rsidRPr="00983CA9">
        <w:rPr>
          <w:lang w:val="en-GB"/>
        </w:rPr>
        <w:t>adapt</w:t>
      </w:r>
      <w:r>
        <w:rPr>
          <w:lang w:val="en-GB"/>
        </w:rPr>
        <w:t xml:space="preserve"> </w:t>
      </w:r>
      <w:r w:rsidR="00FB10CC">
        <w:rPr>
          <w:lang w:val="en-GB"/>
        </w:rPr>
        <w:t xml:space="preserve">survey </w:t>
      </w:r>
      <w:r>
        <w:rPr>
          <w:lang w:val="en-GB"/>
        </w:rPr>
        <w:t xml:space="preserve">questions and documents. </w:t>
      </w:r>
    </w:p>
    <w:p w:rsidR="0068681F" w:rsidRPr="002742AF" w:rsidRDefault="00E8235C" w:rsidP="002C26DB">
      <w:pPr>
        <w:rPr>
          <w:lang w:val="en-GB"/>
        </w:rPr>
      </w:pPr>
      <w:r>
        <w:rPr>
          <w:lang w:val="en-GB"/>
        </w:rPr>
        <w:t>The approach to h</w:t>
      </w:r>
      <w:r w:rsidR="0068681F" w:rsidRPr="002742AF">
        <w:rPr>
          <w:lang w:val="en-GB"/>
        </w:rPr>
        <w:t>armonis</w:t>
      </w:r>
      <w:r>
        <w:rPr>
          <w:lang w:val="en-GB"/>
        </w:rPr>
        <w:t>e housing questions of Microcensus, EU-SILC and H</w:t>
      </w:r>
      <w:r w:rsidR="001C4034">
        <w:rPr>
          <w:lang w:val="en-GB"/>
        </w:rPr>
        <w:t>BS</w:t>
      </w:r>
      <w:r>
        <w:rPr>
          <w:lang w:val="en-GB"/>
        </w:rPr>
        <w:t xml:space="preserve"> was set up through a process linked to three different levels. The</w:t>
      </w:r>
      <w:r w:rsidR="0004462E">
        <w:rPr>
          <w:lang w:val="en-GB"/>
        </w:rPr>
        <w:t xml:space="preserve">se levels (partly) cover the </w:t>
      </w:r>
      <w:r w:rsidR="00E97735">
        <w:rPr>
          <w:lang w:val="en-GB"/>
        </w:rPr>
        <w:t>measurement</w:t>
      </w:r>
      <w:r w:rsidR="0004462E">
        <w:rPr>
          <w:lang w:val="en-GB"/>
        </w:rPr>
        <w:t xml:space="preserve"> issues</w:t>
      </w:r>
      <w:r w:rsidR="00E97735">
        <w:rPr>
          <w:lang w:val="en-GB"/>
        </w:rPr>
        <w:t xml:space="preserve">, </w:t>
      </w:r>
      <w:r w:rsidR="0004462E">
        <w:rPr>
          <w:lang w:val="en-GB"/>
        </w:rPr>
        <w:t xml:space="preserve">the </w:t>
      </w:r>
      <w:r w:rsidR="00E97735">
        <w:rPr>
          <w:lang w:val="en-GB"/>
        </w:rPr>
        <w:t xml:space="preserve">administration </w:t>
      </w:r>
      <w:r w:rsidR="0004462E">
        <w:rPr>
          <w:lang w:val="en-GB"/>
        </w:rPr>
        <w:t xml:space="preserve">mode </w:t>
      </w:r>
      <w:r w:rsidR="00E97735">
        <w:rPr>
          <w:lang w:val="en-GB"/>
        </w:rPr>
        <w:t xml:space="preserve">and </w:t>
      </w:r>
      <w:r w:rsidR="0004462E">
        <w:rPr>
          <w:lang w:val="en-GB"/>
        </w:rPr>
        <w:t xml:space="preserve">the data </w:t>
      </w:r>
      <w:r w:rsidR="00E97735">
        <w:rPr>
          <w:lang w:val="en-GB"/>
        </w:rPr>
        <w:t>analysis</w:t>
      </w:r>
      <w:r w:rsidR="001C0AE7">
        <w:rPr>
          <w:lang w:val="en-GB"/>
        </w:rPr>
        <w:t xml:space="preserve"> of the surveys</w:t>
      </w:r>
      <w:r w:rsidR="0068681F" w:rsidRPr="002742AF">
        <w:rPr>
          <w:lang w:val="en-GB"/>
        </w:rPr>
        <w:t>:</w:t>
      </w:r>
    </w:p>
    <w:p w:rsidR="0068681F" w:rsidRPr="002742AF" w:rsidRDefault="0068681F" w:rsidP="0068681F">
      <w:pPr>
        <w:pStyle w:val="Listenabsatz"/>
        <w:numPr>
          <w:ilvl w:val="0"/>
          <w:numId w:val="2"/>
        </w:numPr>
        <w:rPr>
          <w:lang w:val="en-GB"/>
        </w:rPr>
      </w:pPr>
      <w:r w:rsidRPr="002742AF">
        <w:rPr>
          <w:lang w:val="en-GB"/>
        </w:rPr>
        <w:t>Conceptual level: Which concept</w:t>
      </w:r>
      <w:r w:rsidR="001C0AE7">
        <w:rPr>
          <w:lang w:val="en-GB"/>
        </w:rPr>
        <w:t>s</w:t>
      </w:r>
      <w:r w:rsidRPr="002742AF">
        <w:rPr>
          <w:lang w:val="en-GB"/>
        </w:rPr>
        <w:t xml:space="preserve"> </w:t>
      </w:r>
      <w:r w:rsidR="001C0AE7">
        <w:rPr>
          <w:lang w:val="en-GB"/>
        </w:rPr>
        <w:t>are to</w:t>
      </w:r>
      <w:r w:rsidRPr="002742AF">
        <w:rPr>
          <w:lang w:val="en-GB"/>
        </w:rPr>
        <w:t xml:space="preserve"> be measured? What is the aim of measurement? Who are the users of the </w:t>
      </w:r>
      <w:r w:rsidR="001C0AE7">
        <w:rPr>
          <w:lang w:val="en-GB"/>
        </w:rPr>
        <w:t>data and what they use the data for</w:t>
      </w:r>
      <w:r w:rsidRPr="002742AF">
        <w:rPr>
          <w:lang w:val="en-GB"/>
        </w:rPr>
        <w:t>?</w:t>
      </w:r>
    </w:p>
    <w:p w:rsidR="0068681F" w:rsidRPr="002742AF" w:rsidRDefault="0068681F" w:rsidP="0068681F">
      <w:pPr>
        <w:pStyle w:val="Listenabsatz"/>
        <w:numPr>
          <w:ilvl w:val="0"/>
          <w:numId w:val="2"/>
        </w:numPr>
        <w:rPr>
          <w:lang w:val="en-GB"/>
        </w:rPr>
      </w:pPr>
      <w:r w:rsidRPr="002742AF">
        <w:rPr>
          <w:lang w:val="en-GB"/>
        </w:rPr>
        <w:t xml:space="preserve">Technical level: How </w:t>
      </w:r>
      <w:r w:rsidR="009F779F">
        <w:rPr>
          <w:lang w:val="en-GB"/>
        </w:rPr>
        <w:t xml:space="preserve">to measure </w:t>
      </w:r>
      <w:r w:rsidRPr="002742AF">
        <w:rPr>
          <w:lang w:val="en-GB"/>
        </w:rPr>
        <w:t xml:space="preserve">the concept? How </w:t>
      </w:r>
      <w:r w:rsidR="009F779F">
        <w:rPr>
          <w:lang w:val="en-GB"/>
        </w:rPr>
        <w:t xml:space="preserve">to formulate </w:t>
      </w:r>
      <w:r w:rsidRPr="002742AF">
        <w:rPr>
          <w:lang w:val="en-GB"/>
        </w:rPr>
        <w:t xml:space="preserve">the questions? In which context </w:t>
      </w:r>
      <w:r w:rsidR="00E530F5" w:rsidRPr="002742AF">
        <w:rPr>
          <w:lang w:val="en-GB"/>
        </w:rPr>
        <w:t xml:space="preserve">are </w:t>
      </w:r>
      <w:r w:rsidRPr="002742AF">
        <w:rPr>
          <w:lang w:val="en-GB"/>
        </w:rPr>
        <w:t xml:space="preserve">the questions asked? </w:t>
      </w:r>
      <w:r w:rsidR="001C0AE7">
        <w:rPr>
          <w:lang w:val="en-GB"/>
        </w:rPr>
        <w:t>What kinds of w</w:t>
      </w:r>
      <w:r w:rsidRPr="002742AF">
        <w:rPr>
          <w:lang w:val="en-GB"/>
        </w:rPr>
        <w:t>arnings</w:t>
      </w:r>
      <w:r w:rsidR="001C0AE7">
        <w:rPr>
          <w:lang w:val="en-GB"/>
        </w:rPr>
        <w:t xml:space="preserve"> or signals are </w:t>
      </w:r>
      <w:r w:rsidRPr="002742AF">
        <w:rPr>
          <w:lang w:val="en-GB"/>
        </w:rPr>
        <w:t>used during the interview?</w:t>
      </w:r>
      <w:r w:rsidR="002D13D3" w:rsidRPr="002742AF">
        <w:rPr>
          <w:lang w:val="en-GB"/>
        </w:rPr>
        <w:t xml:space="preserve"> </w:t>
      </w:r>
    </w:p>
    <w:p w:rsidR="001F2FC7" w:rsidRPr="002742AF" w:rsidRDefault="0068681F" w:rsidP="0068681F">
      <w:pPr>
        <w:pStyle w:val="Listenabsatz"/>
        <w:numPr>
          <w:ilvl w:val="0"/>
          <w:numId w:val="2"/>
        </w:numPr>
        <w:rPr>
          <w:lang w:val="en-GB"/>
        </w:rPr>
      </w:pPr>
      <w:r w:rsidRPr="002742AF">
        <w:rPr>
          <w:lang w:val="en-GB"/>
        </w:rPr>
        <w:lastRenderedPageBreak/>
        <w:t xml:space="preserve">Empirical level: </w:t>
      </w:r>
      <w:r w:rsidR="001C0AE7">
        <w:rPr>
          <w:lang w:val="en-GB"/>
        </w:rPr>
        <w:t xml:space="preserve">To what extent the data show similarities so far? </w:t>
      </w:r>
      <w:r w:rsidR="002F0794" w:rsidRPr="002742AF">
        <w:rPr>
          <w:lang w:val="en-GB"/>
        </w:rPr>
        <w:t>Which differences or problems do the results of the surveys and empirical distributions indicate so far?</w:t>
      </w:r>
      <w:r w:rsidR="002D13D3" w:rsidRPr="002742AF">
        <w:rPr>
          <w:lang w:val="en-GB"/>
        </w:rPr>
        <w:t xml:space="preserve"> </w:t>
      </w:r>
    </w:p>
    <w:p w:rsidR="000476A5" w:rsidRDefault="00971DCA" w:rsidP="002C26DB">
      <w:pPr>
        <w:rPr>
          <w:lang w:val="en-GB"/>
        </w:rPr>
      </w:pPr>
      <w:r>
        <w:rPr>
          <w:lang w:val="en-GB"/>
        </w:rPr>
        <w:t>To include all these levels</w:t>
      </w:r>
      <w:r w:rsidR="00A764B0">
        <w:rPr>
          <w:lang w:val="en-GB"/>
        </w:rPr>
        <w:t xml:space="preserve"> in the harmonisation process it</w:t>
      </w:r>
      <w:r>
        <w:rPr>
          <w:lang w:val="en-GB"/>
        </w:rPr>
        <w:t xml:space="preserve"> was n</w:t>
      </w:r>
      <w:r w:rsidR="002F0794" w:rsidRPr="002742AF">
        <w:rPr>
          <w:lang w:val="en-GB"/>
        </w:rPr>
        <w:t>ecessary to</w:t>
      </w:r>
      <w:r>
        <w:rPr>
          <w:lang w:val="en-GB"/>
        </w:rPr>
        <w:t xml:space="preserve"> collect and </w:t>
      </w:r>
      <w:r w:rsidR="002F0794" w:rsidRPr="002742AF">
        <w:rPr>
          <w:lang w:val="en-GB"/>
        </w:rPr>
        <w:t xml:space="preserve">compare </w:t>
      </w:r>
      <w:r>
        <w:rPr>
          <w:lang w:val="en-GB"/>
        </w:rPr>
        <w:t xml:space="preserve">different documents, processes and results of the considered surveys. First of all, </w:t>
      </w:r>
      <w:r w:rsidR="002F0794" w:rsidRPr="002742AF">
        <w:rPr>
          <w:lang w:val="en-GB"/>
        </w:rPr>
        <w:t>the legal frameworks</w:t>
      </w:r>
      <w:r>
        <w:rPr>
          <w:lang w:val="en-GB"/>
        </w:rPr>
        <w:t xml:space="preserve"> and regulations of Microcensus, EU-SILC and </w:t>
      </w:r>
      <w:r w:rsidR="001C4034">
        <w:rPr>
          <w:lang w:val="en-GB"/>
        </w:rPr>
        <w:t>HBS</w:t>
      </w:r>
      <w:r>
        <w:rPr>
          <w:lang w:val="en-GB"/>
        </w:rPr>
        <w:t xml:space="preserve"> were examined. </w:t>
      </w:r>
      <w:r w:rsidR="00A764B0">
        <w:rPr>
          <w:lang w:val="en-GB"/>
        </w:rPr>
        <w:t>Especially those concepts in</w:t>
      </w:r>
      <w:r w:rsidR="00E530F5">
        <w:rPr>
          <w:lang w:val="en-GB"/>
        </w:rPr>
        <w:t xml:space="preserve"> t</w:t>
      </w:r>
      <w:r w:rsidR="00A764B0">
        <w:rPr>
          <w:lang w:val="en-GB"/>
        </w:rPr>
        <w:t xml:space="preserve">he focus of harmonisation were inspected for similarities and dissimilarities. </w:t>
      </w:r>
    </w:p>
    <w:p w:rsidR="000476A5" w:rsidRDefault="00A764B0" w:rsidP="002C26DB">
      <w:pPr>
        <w:rPr>
          <w:lang w:val="en-GB"/>
        </w:rPr>
      </w:pPr>
      <w:r>
        <w:rPr>
          <w:lang w:val="en-GB"/>
        </w:rPr>
        <w:t>After comparing the requirements and specifications for measurement, the existing measurement instruments themselves were examined. T</w:t>
      </w:r>
      <w:r w:rsidR="002F0794" w:rsidRPr="002742AF">
        <w:rPr>
          <w:lang w:val="en-GB"/>
        </w:rPr>
        <w:t xml:space="preserve">he </w:t>
      </w:r>
      <w:r w:rsidR="00F53FC1">
        <w:rPr>
          <w:lang w:val="en-GB"/>
        </w:rPr>
        <w:t xml:space="preserve">relevant </w:t>
      </w:r>
      <w:r w:rsidR="002F0794" w:rsidRPr="002742AF">
        <w:rPr>
          <w:lang w:val="en-GB"/>
        </w:rPr>
        <w:t>questionnaires</w:t>
      </w:r>
      <w:r w:rsidR="00F53FC1">
        <w:rPr>
          <w:lang w:val="en-GB"/>
        </w:rPr>
        <w:t xml:space="preserve"> and documents were </w:t>
      </w:r>
      <w:r w:rsidR="007E08E9">
        <w:rPr>
          <w:lang w:val="en-GB"/>
        </w:rPr>
        <w:t>analysed</w:t>
      </w:r>
      <w:r w:rsidR="00F53FC1">
        <w:rPr>
          <w:lang w:val="en-GB"/>
        </w:rPr>
        <w:t xml:space="preserve"> in many respects: not only the questions themselves, the formulation and terms, but also the annotations for interviewers and other documents for field work, the context of the questions </w:t>
      </w:r>
      <w:r w:rsidR="002F0794" w:rsidRPr="002742AF">
        <w:rPr>
          <w:lang w:val="en-GB"/>
        </w:rPr>
        <w:t xml:space="preserve">and </w:t>
      </w:r>
      <w:r w:rsidR="00F53FC1">
        <w:rPr>
          <w:lang w:val="en-GB"/>
        </w:rPr>
        <w:t xml:space="preserve">administrative processes were included. </w:t>
      </w:r>
      <w:r w:rsidR="00D503D4">
        <w:rPr>
          <w:lang w:val="en-GB"/>
        </w:rPr>
        <w:t xml:space="preserve">The </w:t>
      </w:r>
      <w:r w:rsidR="00F53FC1">
        <w:rPr>
          <w:lang w:val="en-GB"/>
        </w:rPr>
        <w:t xml:space="preserve">configuration of </w:t>
      </w:r>
      <w:r w:rsidR="00D503D4">
        <w:rPr>
          <w:lang w:val="en-GB"/>
        </w:rPr>
        <w:t>CATI-/</w:t>
      </w:r>
      <w:r w:rsidR="002F0794" w:rsidRPr="002742AF">
        <w:rPr>
          <w:lang w:val="en-GB"/>
        </w:rPr>
        <w:t>CAPI-programming</w:t>
      </w:r>
      <w:r w:rsidR="00D503D4">
        <w:rPr>
          <w:lang w:val="en-GB"/>
        </w:rPr>
        <w:t xml:space="preserve"> and </w:t>
      </w:r>
      <w:r w:rsidR="002F0794" w:rsidRPr="002742AF">
        <w:rPr>
          <w:lang w:val="en-GB"/>
        </w:rPr>
        <w:t>warnings</w:t>
      </w:r>
      <w:r w:rsidR="00D503D4">
        <w:rPr>
          <w:lang w:val="en-GB"/>
        </w:rPr>
        <w:t xml:space="preserve"> (hard and soft</w:t>
      </w:r>
      <w:r w:rsidR="00E13B00">
        <w:rPr>
          <w:lang w:val="en-GB"/>
        </w:rPr>
        <w:t xml:space="preserve"> </w:t>
      </w:r>
      <w:r w:rsidR="002F0794" w:rsidRPr="002742AF">
        <w:rPr>
          <w:lang w:val="en-GB"/>
        </w:rPr>
        <w:t>errors</w:t>
      </w:r>
      <w:r w:rsidR="00D503D4">
        <w:rPr>
          <w:lang w:val="en-GB"/>
        </w:rPr>
        <w:t>)</w:t>
      </w:r>
      <w:r w:rsidR="007E08E9">
        <w:rPr>
          <w:lang w:val="en-GB"/>
        </w:rPr>
        <w:t>,</w:t>
      </w:r>
      <w:r w:rsidR="00D503D4">
        <w:rPr>
          <w:lang w:val="en-GB"/>
        </w:rPr>
        <w:t xml:space="preserve"> which are part of the quality management during the interviews</w:t>
      </w:r>
      <w:r w:rsidR="007E08E9">
        <w:rPr>
          <w:lang w:val="en-GB"/>
        </w:rPr>
        <w:t>,</w:t>
      </w:r>
      <w:r w:rsidR="00D503D4">
        <w:rPr>
          <w:lang w:val="en-GB"/>
        </w:rPr>
        <w:t xml:space="preserve"> were compared. </w:t>
      </w:r>
    </w:p>
    <w:p w:rsidR="001F2FC7" w:rsidRPr="002742AF" w:rsidRDefault="00DB53C7" w:rsidP="002C26DB">
      <w:pPr>
        <w:rPr>
          <w:lang w:val="en-GB"/>
        </w:rPr>
      </w:pPr>
      <w:r>
        <w:rPr>
          <w:lang w:val="en-GB"/>
        </w:rPr>
        <w:t xml:space="preserve">In a final step, the </w:t>
      </w:r>
      <w:r w:rsidR="001C7794">
        <w:rPr>
          <w:lang w:val="en-GB"/>
        </w:rPr>
        <w:t>statistical distributions</w:t>
      </w:r>
      <w:r>
        <w:rPr>
          <w:lang w:val="en-GB"/>
        </w:rPr>
        <w:t xml:space="preserve"> of the surveys were examined </w:t>
      </w:r>
      <w:r w:rsidR="001C7794">
        <w:rPr>
          <w:lang w:val="en-GB"/>
        </w:rPr>
        <w:t xml:space="preserve">to </w:t>
      </w:r>
      <w:r w:rsidR="000476A5">
        <w:rPr>
          <w:lang w:val="en-GB"/>
        </w:rPr>
        <w:t>support</w:t>
      </w:r>
      <w:r w:rsidR="001C7794">
        <w:rPr>
          <w:lang w:val="en-GB"/>
        </w:rPr>
        <w:t xml:space="preserve"> </w:t>
      </w:r>
      <w:r w:rsidR="007E08E9">
        <w:rPr>
          <w:lang w:val="en-GB"/>
        </w:rPr>
        <w:t>the</w:t>
      </w:r>
      <w:r w:rsidR="001C7794">
        <w:rPr>
          <w:lang w:val="en-GB"/>
        </w:rPr>
        <w:t xml:space="preserve"> empirical bas</w:t>
      </w:r>
      <w:r w:rsidR="00E530F5">
        <w:rPr>
          <w:lang w:val="en-GB"/>
        </w:rPr>
        <w:t>e</w:t>
      </w:r>
      <w:r w:rsidR="001C7794">
        <w:rPr>
          <w:lang w:val="en-GB"/>
        </w:rPr>
        <w:t xml:space="preserve"> for the differences and similarities that </w:t>
      </w:r>
      <w:r w:rsidR="007E08E9">
        <w:rPr>
          <w:lang w:val="en-GB"/>
        </w:rPr>
        <w:t xml:space="preserve">have </w:t>
      </w:r>
      <w:r w:rsidR="001C7794">
        <w:rPr>
          <w:lang w:val="en-GB"/>
        </w:rPr>
        <w:t>occurred in the three surveys so far</w:t>
      </w:r>
      <w:r w:rsidR="002F0794" w:rsidRPr="002742AF">
        <w:rPr>
          <w:lang w:val="en-GB"/>
        </w:rPr>
        <w:t xml:space="preserve">. </w:t>
      </w:r>
    </w:p>
    <w:p w:rsidR="004A12E0" w:rsidRDefault="001C7794" w:rsidP="00197351">
      <w:pPr>
        <w:rPr>
          <w:lang w:val="en-GB"/>
        </w:rPr>
      </w:pPr>
      <w:r>
        <w:rPr>
          <w:lang w:val="en-GB"/>
        </w:rPr>
        <w:t xml:space="preserve">In addition, </w:t>
      </w:r>
      <w:r w:rsidR="004A12E0">
        <w:rPr>
          <w:lang w:val="en-GB"/>
        </w:rPr>
        <w:t>a respondent debriefing</w:t>
      </w:r>
      <w:r w:rsidR="0089375B">
        <w:rPr>
          <w:lang w:val="en-GB"/>
        </w:rPr>
        <w:t xml:space="preserve"> was used in the harmonisation process. It</w:t>
      </w:r>
      <w:r w:rsidR="000476A5">
        <w:rPr>
          <w:lang w:val="en-GB"/>
        </w:rPr>
        <w:t xml:space="preserve"> was conducted </w:t>
      </w:r>
      <w:r w:rsidR="004A12E0">
        <w:rPr>
          <w:lang w:val="en-GB"/>
        </w:rPr>
        <w:t xml:space="preserve">within the Microcensus Housing Survey in the third quarter of the year 2013 </w:t>
      </w:r>
      <w:r w:rsidR="0089375B">
        <w:rPr>
          <w:lang w:val="en-GB"/>
        </w:rPr>
        <w:t xml:space="preserve">in order </w:t>
      </w:r>
      <w:r w:rsidR="004A12E0">
        <w:rPr>
          <w:lang w:val="en-GB"/>
        </w:rPr>
        <w:t xml:space="preserve">to evaluate the survey questions and </w:t>
      </w:r>
      <w:r w:rsidR="0089375B">
        <w:rPr>
          <w:lang w:val="en-GB"/>
        </w:rPr>
        <w:t xml:space="preserve">to </w:t>
      </w:r>
      <w:r w:rsidR="004A12E0">
        <w:rPr>
          <w:lang w:val="en-GB"/>
        </w:rPr>
        <w:t xml:space="preserve">gather further knowledge about the respondent’s information on the topic. The debriefing was implemented in the CAPI-interviews </w:t>
      </w:r>
      <w:r w:rsidR="000476A5">
        <w:rPr>
          <w:lang w:val="en-GB"/>
        </w:rPr>
        <w:t xml:space="preserve">of Microcensus </w:t>
      </w:r>
      <w:r w:rsidR="004A12E0">
        <w:rPr>
          <w:lang w:val="en-GB"/>
        </w:rPr>
        <w:t xml:space="preserve">and </w:t>
      </w:r>
      <w:r w:rsidR="00BD14DA">
        <w:rPr>
          <w:lang w:val="en-GB"/>
        </w:rPr>
        <w:t xml:space="preserve">more than 700 interviews were </w:t>
      </w:r>
      <w:r w:rsidR="00C107B2">
        <w:rPr>
          <w:lang w:val="en-GB"/>
        </w:rPr>
        <w:t xml:space="preserve">available to analyse the questions about floor space and housing costs. </w:t>
      </w:r>
    </w:p>
    <w:p w:rsidR="00BA29FB" w:rsidRDefault="009F779F" w:rsidP="00BA29FB">
      <w:pPr>
        <w:pStyle w:val="berschrift1"/>
        <w:rPr>
          <w:lang w:val="en-GB"/>
        </w:rPr>
      </w:pPr>
      <w:r>
        <w:rPr>
          <w:lang w:val="en-GB"/>
        </w:rPr>
        <w:t>An</w:t>
      </w:r>
      <w:r w:rsidR="00BA29FB">
        <w:rPr>
          <w:lang w:val="en-GB"/>
        </w:rPr>
        <w:t xml:space="preserve"> examp</w:t>
      </w:r>
      <w:r>
        <w:rPr>
          <w:lang w:val="en-GB"/>
        </w:rPr>
        <w:t>le for successful harmonisation</w:t>
      </w:r>
      <w:r w:rsidR="00BA29FB">
        <w:rPr>
          <w:lang w:val="en-GB"/>
        </w:rPr>
        <w:t xml:space="preserve"> - number of rooms per dwelling</w:t>
      </w:r>
    </w:p>
    <w:p w:rsidR="000333B2" w:rsidRDefault="000476A5" w:rsidP="0045099F">
      <w:pPr>
        <w:rPr>
          <w:lang w:val="en-GB"/>
        </w:rPr>
      </w:pPr>
      <w:r>
        <w:rPr>
          <w:lang w:val="en-GB"/>
        </w:rPr>
        <w:t xml:space="preserve">To better illustrate the harmonisation process </w:t>
      </w:r>
      <w:r w:rsidR="00B00A1E">
        <w:rPr>
          <w:lang w:val="en-GB"/>
        </w:rPr>
        <w:t xml:space="preserve">of housing </w:t>
      </w:r>
      <w:r w:rsidR="000333B2">
        <w:rPr>
          <w:lang w:val="en-GB"/>
        </w:rPr>
        <w:t xml:space="preserve">questions and the result of harmonisation, </w:t>
      </w:r>
      <w:r w:rsidR="0089375B">
        <w:rPr>
          <w:lang w:val="en-GB"/>
        </w:rPr>
        <w:t xml:space="preserve">we will describe </w:t>
      </w:r>
      <w:r w:rsidR="000333B2">
        <w:rPr>
          <w:lang w:val="en-GB"/>
        </w:rPr>
        <w:t xml:space="preserve">one </w:t>
      </w:r>
      <w:r w:rsidR="0089375B">
        <w:rPr>
          <w:lang w:val="en-GB"/>
        </w:rPr>
        <w:t xml:space="preserve">particular </w:t>
      </w:r>
      <w:r w:rsidR="000333B2">
        <w:rPr>
          <w:lang w:val="en-GB"/>
        </w:rPr>
        <w:t>example. The characteristic “number of rooms per dwelling” is included in the three surveys</w:t>
      </w:r>
      <w:r w:rsidR="001705FE">
        <w:rPr>
          <w:lang w:val="en-GB"/>
        </w:rPr>
        <w:t>. I</w:t>
      </w:r>
      <w:r w:rsidR="000333B2">
        <w:rPr>
          <w:lang w:val="en-GB"/>
        </w:rPr>
        <w:t xml:space="preserve">t represents an important </w:t>
      </w:r>
      <w:r w:rsidR="001705FE">
        <w:rPr>
          <w:lang w:val="en-GB"/>
        </w:rPr>
        <w:t xml:space="preserve">variable for </w:t>
      </w:r>
      <w:r w:rsidR="000333B2">
        <w:rPr>
          <w:lang w:val="en-GB"/>
        </w:rPr>
        <w:t>the construction of different indicators on housing. For example,</w:t>
      </w:r>
      <w:r w:rsidR="00E4739F">
        <w:rPr>
          <w:lang w:val="en-GB"/>
        </w:rPr>
        <w:t xml:space="preserve"> </w:t>
      </w:r>
      <w:r w:rsidR="001705FE">
        <w:rPr>
          <w:lang w:val="en-GB"/>
        </w:rPr>
        <w:t xml:space="preserve">it </w:t>
      </w:r>
      <w:r w:rsidR="000333B2">
        <w:rPr>
          <w:lang w:val="en-GB"/>
        </w:rPr>
        <w:t xml:space="preserve">is used </w:t>
      </w:r>
      <w:r w:rsidR="001705FE">
        <w:rPr>
          <w:lang w:val="en-GB"/>
        </w:rPr>
        <w:t>as indicator</w:t>
      </w:r>
      <w:r w:rsidR="00E4739F">
        <w:rPr>
          <w:lang w:val="en-GB"/>
        </w:rPr>
        <w:t xml:space="preserve"> </w:t>
      </w:r>
      <w:r w:rsidR="00E530F5">
        <w:rPr>
          <w:lang w:val="en-GB"/>
        </w:rPr>
        <w:t>describing</w:t>
      </w:r>
      <w:r w:rsidR="00E4739F">
        <w:rPr>
          <w:lang w:val="en-GB"/>
        </w:rPr>
        <w:t xml:space="preserve"> the </w:t>
      </w:r>
      <w:r w:rsidR="0057547A">
        <w:rPr>
          <w:lang w:val="en-GB"/>
        </w:rPr>
        <w:t xml:space="preserve">size of dwellings. Furthermore, it is used to analyse the space deficit on the basis of </w:t>
      </w:r>
      <w:r w:rsidR="0089375B">
        <w:rPr>
          <w:lang w:val="en-GB"/>
        </w:rPr>
        <w:t xml:space="preserve">the </w:t>
      </w:r>
      <w:r w:rsidR="0057547A">
        <w:rPr>
          <w:lang w:val="en-GB"/>
        </w:rPr>
        <w:t xml:space="preserve">Microcensus Housing Survey. The variable “number of rooms per dwelling” is also needed to calculate imputed rents of EU-SILC and the </w:t>
      </w:r>
      <w:r w:rsidR="001C4034">
        <w:rPr>
          <w:lang w:val="en-GB"/>
        </w:rPr>
        <w:t>HBS</w:t>
      </w:r>
      <w:r w:rsidR="0057547A">
        <w:rPr>
          <w:lang w:val="en-GB"/>
        </w:rPr>
        <w:t xml:space="preserve"> on the basis of the Microcensus. </w:t>
      </w:r>
    </w:p>
    <w:p w:rsidR="000333B2" w:rsidRDefault="0057547A" w:rsidP="000333B2">
      <w:pPr>
        <w:rPr>
          <w:lang w:val="en-GB"/>
        </w:rPr>
      </w:pPr>
      <w:r>
        <w:rPr>
          <w:lang w:val="en-GB"/>
        </w:rPr>
        <w:t xml:space="preserve">Up to the year 2013 the </w:t>
      </w:r>
      <w:r w:rsidR="001705FE">
        <w:rPr>
          <w:lang w:val="en-GB"/>
        </w:rPr>
        <w:t xml:space="preserve">characteristic </w:t>
      </w:r>
      <w:r>
        <w:rPr>
          <w:lang w:val="en-GB"/>
        </w:rPr>
        <w:t xml:space="preserve">“number of rooms per dwelling” </w:t>
      </w:r>
      <w:r w:rsidR="008519CA">
        <w:rPr>
          <w:lang w:val="en-GB"/>
        </w:rPr>
        <w:t xml:space="preserve">was </w:t>
      </w:r>
      <w:r>
        <w:rPr>
          <w:lang w:val="en-GB"/>
        </w:rPr>
        <w:t xml:space="preserve">asked </w:t>
      </w:r>
      <w:r w:rsidR="003902CA">
        <w:rPr>
          <w:lang w:val="en-GB"/>
        </w:rPr>
        <w:t xml:space="preserve">in different ways: (a) </w:t>
      </w:r>
      <w:r w:rsidR="000333B2">
        <w:rPr>
          <w:lang w:val="en-GB"/>
        </w:rPr>
        <w:t xml:space="preserve">Microcensus and </w:t>
      </w:r>
      <w:r w:rsidR="000333B2" w:rsidRPr="000333B2">
        <w:rPr>
          <w:lang w:val="en-GB"/>
        </w:rPr>
        <w:t xml:space="preserve">Household Budget Survey </w:t>
      </w:r>
      <w:r w:rsidR="003902CA">
        <w:rPr>
          <w:lang w:val="en-GB"/>
        </w:rPr>
        <w:t>covered the n</w:t>
      </w:r>
      <w:r w:rsidR="000333B2" w:rsidRPr="000333B2">
        <w:rPr>
          <w:lang w:val="en-GB"/>
        </w:rPr>
        <w:t xml:space="preserve">umber of rooms including </w:t>
      </w:r>
      <w:r w:rsidR="000333B2" w:rsidRPr="000333B2">
        <w:rPr>
          <w:lang w:val="en-GB"/>
        </w:rPr>
        <w:lastRenderedPageBreak/>
        <w:t xml:space="preserve">kitchen with more than 4 </w:t>
      </w:r>
      <w:r w:rsidR="003902CA" w:rsidRPr="000333B2">
        <w:rPr>
          <w:lang w:val="en-GB"/>
        </w:rPr>
        <w:t>sq</w:t>
      </w:r>
      <w:r w:rsidR="003902CA">
        <w:rPr>
          <w:lang w:val="en-GB"/>
        </w:rPr>
        <w:t xml:space="preserve">uare metres and (b) </w:t>
      </w:r>
      <w:r w:rsidR="000333B2" w:rsidRPr="000333B2">
        <w:rPr>
          <w:lang w:val="en-GB"/>
        </w:rPr>
        <w:t>EU-SILC</w:t>
      </w:r>
      <w:r w:rsidR="003902CA">
        <w:rPr>
          <w:lang w:val="en-GB"/>
        </w:rPr>
        <w:t xml:space="preserve"> surveyed</w:t>
      </w:r>
      <w:r w:rsidR="000333B2" w:rsidRPr="000333B2">
        <w:rPr>
          <w:lang w:val="en-GB"/>
        </w:rPr>
        <w:t xml:space="preserve"> </w:t>
      </w:r>
      <w:r w:rsidR="003902CA">
        <w:rPr>
          <w:lang w:val="en-GB"/>
        </w:rPr>
        <w:t>the n</w:t>
      </w:r>
      <w:r w:rsidR="000333B2" w:rsidRPr="000333B2">
        <w:rPr>
          <w:lang w:val="en-GB"/>
        </w:rPr>
        <w:t>umber of rooms without kitchen</w:t>
      </w:r>
      <w:r w:rsidR="003902CA">
        <w:rPr>
          <w:lang w:val="en-GB"/>
        </w:rPr>
        <w:t xml:space="preserve">. </w:t>
      </w:r>
    </w:p>
    <w:p w:rsidR="008519CA" w:rsidRDefault="003D19D9" w:rsidP="0045099F">
      <w:pPr>
        <w:rPr>
          <w:lang w:val="en-GB"/>
        </w:rPr>
      </w:pPr>
      <w:r>
        <w:rPr>
          <w:lang w:val="en-GB"/>
        </w:rPr>
        <w:t>T</w:t>
      </w:r>
      <w:r w:rsidR="00CE631C">
        <w:rPr>
          <w:lang w:val="en-GB"/>
        </w:rPr>
        <w:t xml:space="preserve">he harmonisation started with the examination of </w:t>
      </w:r>
      <w:r w:rsidR="003902CA">
        <w:rPr>
          <w:lang w:val="en-GB"/>
        </w:rPr>
        <w:t>legal frameworks and regulations</w:t>
      </w:r>
      <w:r w:rsidR="00011E6F">
        <w:rPr>
          <w:lang w:val="en-GB"/>
        </w:rPr>
        <w:t xml:space="preserve">. Thereafter, the external and internal usage of the data </w:t>
      </w:r>
      <w:r w:rsidR="006D0129">
        <w:rPr>
          <w:lang w:val="en-GB"/>
        </w:rPr>
        <w:t xml:space="preserve">as well as the linkage to other statistics </w:t>
      </w:r>
      <w:r w:rsidR="00011E6F">
        <w:rPr>
          <w:lang w:val="en-GB"/>
        </w:rPr>
        <w:t xml:space="preserve">was </w:t>
      </w:r>
      <w:r w:rsidR="00572642">
        <w:rPr>
          <w:lang w:val="en-GB"/>
        </w:rPr>
        <w:t xml:space="preserve">considered. </w:t>
      </w:r>
      <w:r w:rsidR="00CE631C">
        <w:rPr>
          <w:lang w:val="en-GB"/>
        </w:rPr>
        <w:t xml:space="preserve">On this basis </w:t>
      </w:r>
      <w:r w:rsidR="0045099F">
        <w:rPr>
          <w:lang w:val="en-GB"/>
        </w:rPr>
        <w:t>the purpose of the measurement</w:t>
      </w:r>
      <w:r w:rsidR="008519CA">
        <w:rPr>
          <w:lang w:val="en-GB"/>
        </w:rPr>
        <w:t xml:space="preserve"> and </w:t>
      </w:r>
      <w:r w:rsidR="0045099F">
        <w:rPr>
          <w:lang w:val="en-GB"/>
        </w:rPr>
        <w:t>t</w:t>
      </w:r>
      <w:r w:rsidR="00CE631C">
        <w:rPr>
          <w:lang w:val="en-GB"/>
        </w:rPr>
        <w:t xml:space="preserve">he extent of equivalence of </w:t>
      </w:r>
      <w:r w:rsidR="0045099F">
        <w:rPr>
          <w:lang w:val="en-GB"/>
        </w:rPr>
        <w:t xml:space="preserve">the underlying concept </w:t>
      </w:r>
      <w:r w:rsidR="00CE631C">
        <w:rPr>
          <w:lang w:val="en-GB"/>
        </w:rPr>
        <w:t>were specified</w:t>
      </w:r>
      <w:r w:rsidR="008519CA">
        <w:rPr>
          <w:lang w:val="en-GB"/>
        </w:rPr>
        <w:t>. Not only the question itself, but also the form and helping texts for interviewers, annotations and warnings in the programming of the questionnaires differed</w:t>
      </w:r>
      <w:r w:rsidR="00CE631C">
        <w:rPr>
          <w:lang w:val="en-GB"/>
        </w:rPr>
        <w:t xml:space="preserve"> up to the year 2013</w:t>
      </w:r>
      <w:r w:rsidR="008519CA">
        <w:rPr>
          <w:lang w:val="en-GB"/>
        </w:rPr>
        <w:t xml:space="preserve">. </w:t>
      </w:r>
    </w:p>
    <w:p w:rsidR="008F78FE" w:rsidRDefault="008519CA" w:rsidP="0045099F">
      <w:pPr>
        <w:rPr>
          <w:lang w:val="en-GB"/>
        </w:rPr>
      </w:pPr>
      <w:r>
        <w:rPr>
          <w:lang w:val="en-GB"/>
        </w:rPr>
        <w:t xml:space="preserve">The additional questions of </w:t>
      </w:r>
      <w:r w:rsidR="0089375B">
        <w:rPr>
          <w:lang w:val="en-GB"/>
        </w:rPr>
        <w:t xml:space="preserve">the </w:t>
      </w:r>
      <w:r>
        <w:rPr>
          <w:lang w:val="en-GB"/>
        </w:rPr>
        <w:t xml:space="preserve">respondent debriefing of the Microcensus helped to understand the way the respondents answer the questions in the Microcensus and </w:t>
      </w:r>
      <w:r w:rsidR="00CE631C">
        <w:rPr>
          <w:lang w:val="en-GB"/>
        </w:rPr>
        <w:t>the</w:t>
      </w:r>
      <w:r>
        <w:rPr>
          <w:lang w:val="en-GB"/>
        </w:rPr>
        <w:t xml:space="preserve"> information they use to answer the question. Additionally, the statistical distributions of the </w:t>
      </w:r>
      <w:r w:rsidR="003D19D9">
        <w:rPr>
          <w:lang w:val="en-GB"/>
        </w:rPr>
        <w:t>variable</w:t>
      </w:r>
      <w:r w:rsidR="006D0129">
        <w:rPr>
          <w:lang w:val="en-GB"/>
        </w:rPr>
        <w:t xml:space="preserve"> in the Microcensus, EU-SILC and the HBS</w:t>
      </w:r>
      <w:r w:rsidR="00572642">
        <w:rPr>
          <w:lang w:val="en-GB"/>
        </w:rPr>
        <w:t xml:space="preserve"> were </w:t>
      </w:r>
      <w:r>
        <w:rPr>
          <w:lang w:val="en-GB"/>
        </w:rPr>
        <w:t xml:space="preserve">analysed. </w:t>
      </w:r>
    </w:p>
    <w:p w:rsidR="004A5013" w:rsidRDefault="0089375B" w:rsidP="002C26DB">
      <w:pPr>
        <w:rPr>
          <w:lang w:val="en-GB"/>
        </w:rPr>
      </w:pPr>
      <w:r>
        <w:rPr>
          <w:lang w:val="en-GB"/>
        </w:rPr>
        <w:t>Based on t</w:t>
      </w:r>
      <w:r w:rsidR="008F78FE">
        <w:rPr>
          <w:lang w:val="en-GB"/>
        </w:rPr>
        <w:t xml:space="preserve">his process, </w:t>
      </w:r>
      <w:r>
        <w:rPr>
          <w:lang w:val="en-GB"/>
        </w:rPr>
        <w:t xml:space="preserve">it was finally </w:t>
      </w:r>
      <w:r w:rsidR="009C7B29">
        <w:rPr>
          <w:lang w:val="en-GB"/>
        </w:rPr>
        <w:t xml:space="preserve">decided </w:t>
      </w:r>
      <w:r w:rsidR="00572642">
        <w:rPr>
          <w:lang w:val="en-GB"/>
        </w:rPr>
        <w:t>to</w:t>
      </w:r>
      <w:r w:rsidR="008F78FE">
        <w:rPr>
          <w:lang w:val="en-GB"/>
        </w:rPr>
        <w:t xml:space="preserve"> establish not only the same measurement instrument, but also the same helping texts and annotations for interviewers </w:t>
      </w:r>
      <w:r w:rsidR="00CE631C">
        <w:rPr>
          <w:lang w:val="en-GB"/>
        </w:rPr>
        <w:t>as well as</w:t>
      </w:r>
      <w:r w:rsidR="008F78FE">
        <w:rPr>
          <w:lang w:val="en-GB"/>
        </w:rPr>
        <w:t xml:space="preserve"> similar </w:t>
      </w:r>
      <w:r w:rsidR="0045099F">
        <w:rPr>
          <w:lang w:val="en-GB"/>
        </w:rPr>
        <w:t>warnings</w:t>
      </w:r>
      <w:r w:rsidR="008F78FE">
        <w:rPr>
          <w:lang w:val="en-GB"/>
        </w:rPr>
        <w:t xml:space="preserve"> in the interview</w:t>
      </w:r>
      <w:r w:rsidR="00CE631C">
        <w:rPr>
          <w:lang w:val="en-GB"/>
        </w:rPr>
        <w:t>ing</w:t>
      </w:r>
      <w:r w:rsidR="008F78FE">
        <w:rPr>
          <w:lang w:val="en-GB"/>
        </w:rPr>
        <w:t xml:space="preserve"> process. Therefore, two survey questions were constructed to cover both the “</w:t>
      </w:r>
      <w:r w:rsidR="00480551">
        <w:rPr>
          <w:lang w:val="en-GB"/>
        </w:rPr>
        <w:t>former</w:t>
      </w:r>
      <w:r w:rsidR="008F78FE">
        <w:rPr>
          <w:lang w:val="en-GB"/>
        </w:rPr>
        <w:t xml:space="preserve">” and </w:t>
      </w:r>
      <w:r w:rsidR="00CE631C">
        <w:rPr>
          <w:lang w:val="en-GB"/>
        </w:rPr>
        <w:t xml:space="preserve">the </w:t>
      </w:r>
      <w:r w:rsidR="008F78FE">
        <w:rPr>
          <w:lang w:val="en-GB"/>
        </w:rPr>
        <w:t xml:space="preserve">“new” versions of the indicator in the three surveys. </w:t>
      </w:r>
      <w:r w:rsidR="00CE631C">
        <w:rPr>
          <w:lang w:val="en-GB"/>
        </w:rPr>
        <w:t xml:space="preserve">The first question which </w:t>
      </w:r>
      <w:r>
        <w:rPr>
          <w:lang w:val="en-GB"/>
        </w:rPr>
        <w:t xml:space="preserve">has been </w:t>
      </w:r>
      <w:r w:rsidR="00480551">
        <w:rPr>
          <w:lang w:val="en-GB"/>
        </w:rPr>
        <w:t xml:space="preserve">implemented in the surveys </w:t>
      </w:r>
      <w:r>
        <w:rPr>
          <w:lang w:val="en-GB"/>
        </w:rPr>
        <w:t>starting in</w:t>
      </w:r>
      <w:r w:rsidR="00480551">
        <w:rPr>
          <w:lang w:val="en-GB"/>
        </w:rPr>
        <w:t xml:space="preserve"> 2014 </w:t>
      </w:r>
      <w:r w:rsidR="007F1008">
        <w:rPr>
          <w:lang w:val="en-GB"/>
        </w:rPr>
        <w:t>requests the number of rooms without kitchen. The second question refers to the type and sizes of the kitchen</w:t>
      </w:r>
      <w:r w:rsidR="00480551">
        <w:rPr>
          <w:lang w:val="en-GB"/>
        </w:rPr>
        <w:t xml:space="preserve"> (see table 1).</w:t>
      </w:r>
      <w:r w:rsidR="007F1008">
        <w:rPr>
          <w:lang w:val="en-GB"/>
        </w:rPr>
        <w:t xml:space="preserve"> The harmonisation also include</w:t>
      </w:r>
      <w:r>
        <w:rPr>
          <w:lang w:val="en-GB"/>
        </w:rPr>
        <w:t>s</w:t>
      </w:r>
      <w:r w:rsidR="007F1008">
        <w:rPr>
          <w:lang w:val="en-GB"/>
        </w:rPr>
        <w:t xml:space="preserve"> remarks and annotations for interviewers and warnings in the CATI-/CAPI-programming</w:t>
      </w:r>
      <w:r>
        <w:rPr>
          <w:lang w:val="en-GB"/>
        </w:rPr>
        <w:t>. T</w:t>
      </w:r>
      <w:r w:rsidR="001E1CD7">
        <w:rPr>
          <w:lang w:val="en-GB"/>
        </w:rPr>
        <w:t xml:space="preserve">he context of </w:t>
      </w:r>
      <w:r w:rsidR="004A5013">
        <w:rPr>
          <w:lang w:val="en-GB"/>
        </w:rPr>
        <w:t>the question and structure of</w:t>
      </w:r>
      <w:r w:rsidR="007F1008">
        <w:rPr>
          <w:lang w:val="en-GB"/>
        </w:rPr>
        <w:t xml:space="preserve"> questionnaires of the three surveys</w:t>
      </w:r>
      <w:r>
        <w:rPr>
          <w:lang w:val="en-GB"/>
        </w:rPr>
        <w:t>, however,</w:t>
      </w:r>
      <w:r w:rsidR="007F1008">
        <w:rPr>
          <w:lang w:val="en-GB"/>
        </w:rPr>
        <w:t xml:space="preserve"> was not changed. </w:t>
      </w:r>
    </w:p>
    <w:p w:rsidR="007F1008" w:rsidRDefault="007F1008" w:rsidP="007F1008">
      <w:pPr>
        <w:rPr>
          <w:lang w:val="en-GB"/>
        </w:rPr>
      </w:pPr>
      <w:r>
        <w:rPr>
          <w:lang w:val="en-GB"/>
        </w:rPr>
        <w:t>The</w:t>
      </w:r>
      <w:r w:rsidR="00CE631C">
        <w:rPr>
          <w:lang w:val="en-GB"/>
        </w:rPr>
        <w:t>se</w:t>
      </w:r>
      <w:r>
        <w:rPr>
          <w:lang w:val="en-GB"/>
        </w:rPr>
        <w:t xml:space="preserve"> changes ensure that Microcensus, EU-SILC and the </w:t>
      </w:r>
      <w:r w:rsidR="001C4034">
        <w:rPr>
          <w:lang w:val="en-GB"/>
        </w:rPr>
        <w:t>HBS</w:t>
      </w:r>
      <w:r>
        <w:rPr>
          <w:lang w:val="en-GB"/>
        </w:rPr>
        <w:t xml:space="preserve"> now include </w:t>
      </w:r>
      <w:r w:rsidR="0089375B">
        <w:rPr>
          <w:lang w:val="en-GB"/>
        </w:rPr>
        <w:t xml:space="preserve">a </w:t>
      </w:r>
      <w:r>
        <w:rPr>
          <w:lang w:val="en-GB"/>
        </w:rPr>
        <w:t xml:space="preserve">similar measurement of the characteristic “number of rooms per dwellings” and </w:t>
      </w:r>
      <w:r w:rsidR="0089375B">
        <w:rPr>
          <w:lang w:val="en-GB"/>
        </w:rPr>
        <w:t>still allow continuing</w:t>
      </w:r>
      <w:r w:rsidR="009A418F">
        <w:rPr>
          <w:lang w:val="en-GB"/>
        </w:rPr>
        <w:t xml:space="preserve"> </w:t>
      </w:r>
      <w:r w:rsidR="009A418F">
        <w:rPr>
          <w:lang w:val="en-GB"/>
        </w:rPr>
        <w:t xml:space="preserve">the </w:t>
      </w:r>
      <w:r>
        <w:rPr>
          <w:lang w:val="en-GB"/>
        </w:rPr>
        <w:t xml:space="preserve">time series </w:t>
      </w:r>
      <w:r w:rsidR="009A418F">
        <w:rPr>
          <w:lang w:val="en-GB"/>
        </w:rPr>
        <w:t>of each survey. The c</w:t>
      </w:r>
      <w:r w:rsidR="009A418F" w:rsidRPr="009B5B91">
        <w:rPr>
          <w:lang w:val="en-GB"/>
        </w:rPr>
        <w:t xml:space="preserve">omparability and coherence within time series </w:t>
      </w:r>
      <w:r w:rsidR="009A418F">
        <w:rPr>
          <w:lang w:val="en-GB"/>
        </w:rPr>
        <w:t>of the particular surveys as well as</w:t>
      </w:r>
      <w:r w:rsidR="009A418F" w:rsidRPr="009B5B91">
        <w:rPr>
          <w:lang w:val="en-GB"/>
        </w:rPr>
        <w:t xml:space="preserve"> between </w:t>
      </w:r>
      <w:r w:rsidR="009A418F">
        <w:rPr>
          <w:lang w:val="en-GB"/>
        </w:rPr>
        <w:t xml:space="preserve">the </w:t>
      </w:r>
      <w:r w:rsidR="009A418F" w:rsidRPr="009B5B91">
        <w:rPr>
          <w:lang w:val="en-GB"/>
        </w:rPr>
        <w:t>separate datasets</w:t>
      </w:r>
      <w:r w:rsidR="009A418F">
        <w:rPr>
          <w:lang w:val="en-GB"/>
        </w:rPr>
        <w:t xml:space="preserve"> is guaranteed by implementing two questions on this measurement concept</w:t>
      </w:r>
      <w:r w:rsidR="009A418F" w:rsidRPr="009B5B91">
        <w:rPr>
          <w:lang w:val="en-GB"/>
        </w:rPr>
        <w:t>.</w:t>
      </w:r>
    </w:p>
    <w:p w:rsidR="00774F41" w:rsidRDefault="00774F41">
      <w:pPr>
        <w:spacing w:before="0" w:line="240" w:lineRule="auto"/>
        <w:contextualSpacing w:val="0"/>
        <w:jc w:val="left"/>
        <w:rPr>
          <w:lang w:val="en-GB"/>
        </w:rPr>
      </w:pPr>
    </w:p>
    <w:p w:rsidR="001E1CD7" w:rsidRDefault="001E1CD7" w:rsidP="002C26DB">
      <w:pPr>
        <w:rPr>
          <w:lang w:val="en-GB"/>
        </w:rPr>
      </w:pPr>
      <w:r>
        <w:rPr>
          <w:lang w:val="en-GB"/>
        </w:rPr>
        <w:t>Table</w:t>
      </w:r>
      <w:r w:rsidR="00480551">
        <w:rPr>
          <w:lang w:val="en-GB"/>
        </w:rPr>
        <w:t xml:space="preserve"> 1</w:t>
      </w:r>
      <w:r>
        <w:rPr>
          <w:lang w:val="en-GB"/>
        </w:rPr>
        <w:t xml:space="preserve">: </w:t>
      </w:r>
      <w:r w:rsidR="004A5013">
        <w:rPr>
          <w:lang w:val="en-GB"/>
        </w:rPr>
        <w:t>Variable “number of rooms” – former and new version</w:t>
      </w:r>
    </w:p>
    <w:tbl>
      <w:tblPr>
        <w:tblStyle w:val="Tabellenraster"/>
        <w:tblW w:w="0" w:type="auto"/>
        <w:tblLook w:val="04A0" w:firstRow="1" w:lastRow="0" w:firstColumn="1" w:lastColumn="0" w:noHBand="0" w:noVBand="1"/>
      </w:tblPr>
      <w:tblGrid>
        <w:gridCol w:w="3369"/>
        <w:gridCol w:w="5843"/>
      </w:tblGrid>
      <w:tr w:rsidR="00FC7B8F" w:rsidRPr="007908EB" w:rsidTr="00FC7B8F">
        <w:tc>
          <w:tcPr>
            <w:tcW w:w="3369" w:type="dxa"/>
            <w:vAlign w:val="center"/>
          </w:tcPr>
          <w:p w:rsidR="002D5CF0" w:rsidRDefault="001E1CD7" w:rsidP="002D5CF0">
            <w:pPr>
              <w:jc w:val="left"/>
              <w:rPr>
                <w:lang w:val="en-GB"/>
              </w:rPr>
            </w:pPr>
            <w:r>
              <w:rPr>
                <w:lang w:val="en-GB"/>
              </w:rPr>
              <w:t>Microcensus 2013</w:t>
            </w:r>
          </w:p>
          <w:p w:rsidR="00FC7B8F" w:rsidRDefault="00FC7B8F" w:rsidP="002D5CF0">
            <w:pPr>
              <w:jc w:val="left"/>
              <w:rPr>
                <w:lang w:val="en-GB"/>
              </w:rPr>
            </w:pPr>
            <w:r>
              <w:rPr>
                <w:lang w:val="en-GB"/>
              </w:rPr>
              <w:t>Household Budget Survey 2009</w:t>
            </w:r>
          </w:p>
        </w:tc>
        <w:tc>
          <w:tcPr>
            <w:tcW w:w="5843" w:type="dxa"/>
            <w:vAlign w:val="center"/>
          </w:tcPr>
          <w:p w:rsidR="00FC7B8F" w:rsidRDefault="00FC7B8F" w:rsidP="00FC7B8F">
            <w:pPr>
              <w:jc w:val="left"/>
              <w:rPr>
                <w:lang w:val="en-GB"/>
              </w:rPr>
            </w:pPr>
            <w:r>
              <w:rPr>
                <w:lang w:val="en-GB"/>
              </w:rPr>
              <w:t xml:space="preserve">Number of rooms including kitchen with more than 4 </w:t>
            </w:r>
            <w:proofErr w:type="spellStart"/>
            <w:r>
              <w:rPr>
                <w:lang w:val="en-GB"/>
              </w:rPr>
              <w:t>sqm</w:t>
            </w:r>
            <w:proofErr w:type="spellEnd"/>
          </w:p>
        </w:tc>
      </w:tr>
      <w:tr w:rsidR="00FC7B8F" w:rsidRPr="007908EB" w:rsidTr="00FC7B8F">
        <w:tc>
          <w:tcPr>
            <w:tcW w:w="3369" w:type="dxa"/>
            <w:vAlign w:val="center"/>
          </w:tcPr>
          <w:p w:rsidR="00FC7B8F" w:rsidRDefault="00FC7B8F" w:rsidP="00FC7B8F">
            <w:pPr>
              <w:jc w:val="left"/>
              <w:rPr>
                <w:lang w:val="en-GB"/>
              </w:rPr>
            </w:pPr>
            <w:r>
              <w:rPr>
                <w:lang w:val="en-GB"/>
              </w:rPr>
              <w:t>EU-SILC 2013</w:t>
            </w:r>
          </w:p>
        </w:tc>
        <w:tc>
          <w:tcPr>
            <w:tcW w:w="5843" w:type="dxa"/>
            <w:vAlign w:val="center"/>
          </w:tcPr>
          <w:p w:rsidR="00FC7B8F" w:rsidRDefault="00FC7B8F" w:rsidP="00FC7B8F">
            <w:pPr>
              <w:jc w:val="left"/>
              <w:rPr>
                <w:lang w:val="en-GB"/>
              </w:rPr>
            </w:pPr>
            <w:r>
              <w:rPr>
                <w:lang w:val="en-GB"/>
              </w:rPr>
              <w:t>Number of rooms without kitchen</w:t>
            </w:r>
          </w:p>
        </w:tc>
      </w:tr>
      <w:tr w:rsidR="00FC7B8F" w:rsidRPr="007908EB" w:rsidTr="00FC7B8F">
        <w:tc>
          <w:tcPr>
            <w:tcW w:w="3369" w:type="dxa"/>
            <w:vAlign w:val="center"/>
          </w:tcPr>
          <w:p w:rsidR="002D5CF0" w:rsidRDefault="001E1CD7" w:rsidP="00FC7B8F">
            <w:pPr>
              <w:jc w:val="left"/>
              <w:rPr>
                <w:lang w:val="en-GB"/>
              </w:rPr>
            </w:pPr>
            <w:r>
              <w:rPr>
                <w:lang w:val="en-GB"/>
              </w:rPr>
              <w:t>Microcensus 2014</w:t>
            </w:r>
          </w:p>
          <w:p w:rsidR="00FC7B8F" w:rsidRDefault="001E1CD7" w:rsidP="00FC7B8F">
            <w:pPr>
              <w:jc w:val="left"/>
              <w:rPr>
                <w:lang w:val="en-GB"/>
              </w:rPr>
            </w:pPr>
            <w:r>
              <w:rPr>
                <w:lang w:val="en-GB"/>
              </w:rPr>
              <w:t>EU-SILC 2014</w:t>
            </w:r>
          </w:p>
          <w:p w:rsidR="001E1CD7" w:rsidRDefault="001E1CD7" w:rsidP="00FC7B8F">
            <w:pPr>
              <w:jc w:val="left"/>
              <w:rPr>
                <w:lang w:val="en-GB"/>
              </w:rPr>
            </w:pPr>
            <w:r>
              <w:rPr>
                <w:lang w:val="en-GB"/>
              </w:rPr>
              <w:t>Household Budget Survey 2014</w:t>
            </w:r>
          </w:p>
        </w:tc>
        <w:tc>
          <w:tcPr>
            <w:tcW w:w="5843" w:type="dxa"/>
            <w:vAlign w:val="center"/>
          </w:tcPr>
          <w:p w:rsidR="00FC7B8F" w:rsidRDefault="001E1CD7" w:rsidP="00FC7B8F">
            <w:pPr>
              <w:jc w:val="left"/>
              <w:rPr>
                <w:lang w:val="en-GB"/>
              </w:rPr>
            </w:pPr>
            <w:r>
              <w:rPr>
                <w:lang w:val="en-GB"/>
              </w:rPr>
              <w:t>Number of rooms without kitchen</w:t>
            </w:r>
          </w:p>
          <w:p w:rsidR="001E1CD7" w:rsidRDefault="001E1CD7" w:rsidP="00FC7B8F">
            <w:pPr>
              <w:jc w:val="left"/>
              <w:rPr>
                <w:lang w:val="en-GB"/>
              </w:rPr>
            </w:pPr>
            <w:r>
              <w:rPr>
                <w:lang w:val="en-GB"/>
              </w:rPr>
              <w:t>Type and size of kitchen</w:t>
            </w:r>
          </w:p>
        </w:tc>
      </w:tr>
    </w:tbl>
    <w:p w:rsidR="00FC7B8F" w:rsidRDefault="00FC7B8F" w:rsidP="002C26DB">
      <w:pPr>
        <w:rPr>
          <w:lang w:val="en-GB"/>
        </w:rPr>
      </w:pPr>
    </w:p>
    <w:p w:rsidR="008137E1" w:rsidRDefault="00FA720C" w:rsidP="002C26DB">
      <w:pPr>
        <w:rPr>
          <w:lang w:val="en-GB"/>
        </w:rPr>
      </w:pPr>
      <w:r>
        <w:rPr>
          <w:lang w:val="en-GB"/>
        </w:rPr>
        <w:lastRenderedPageBreak/>
        <w:t>In t</w:t>
      </w:r>
      <w:r w:rsidR="009A418F">
        <w:rPr>
          <w:lang w:val="en-GB"/>
        </w:rPr>
        <w:t xml:space="preserve">he case of </w:t>
      </w:r>
      <w:r w:rsidR="00CE631C">
        <w:rPr>
          <w:lang w:val="en-GB"/>
        </w:rPr>
        <w:t xml:space="preserve">the variable </w:t>
      </w:r>
      <w:r w:rsidR="009A418F">
        <w:rPr>
          <w:lang w:val="en-GB"/>
        </w:rPr>
        <w:t xml:space="preserve">“number of rooms per dwelling” the harmonisation </w:t>
      </w:r>
      <w:r w:rsidR="00273D29">
        <w:rPr>
          <w:lang w:val="en-GB"/>
        </w:rPr>
        <w:t xml:space="preserve">process </w:t>
      </w:r>
      <w:r w:rsidR="009A418F">
        <w:rPr>
          <w:lang w:val="en-GB"/>
        </w:rPr>
        <w:t>was successful</w:t>
      </w:r>
      <w:r w:rsidR="00273D29">
        <w:rPr>
          <w:lang w:val="en-GB"/>
        </w:rPr>
        <w:t xml:space="preserve"> in establishing the same questions</w:t>
      </w:r>
      <w:r>
        <w:rPr>
          <w:lang w:val="en-GB"/>
        </w:rPr>
        <w:t>, the same</w:t>
      </w:r>
      <w:r w:rsidR="00273D29">
        <w:rPr>
          <w:lang w:val="en-GB"/>
        </w:rPr>
        <w:t xml:space="preserve"> documents </w:t>
      </w:r>
      <w:r>
        <w:rPr>
          <w:lang w:val="en-GB"/>
        </w:rPr>
        <w:t>for</w:t>
      </w:r>
      <w:r w:rsidR="00273D29">
        <w:rPr>
          <w:lang w:val="en-GB"/>
        </w:rPr>
        <w:t xml:space="preserve"> the interview</w:t>
      </w:r>
      <w:r>
        <w:rPr>
          <w:lang w:val="en-GB"/>
        </w:rPr>
        <w:t>ing</w:t>
      </w:r>
      <w:r w:rsidR="00273D29">
        <w:rPr>
          <w:lang w:val="en-GB"/>
        </w:rPr>
        <w:t xml:space="preserve"> process </w:t>
      </w:r>
      <w:r>
        <w:rPr>
          <w:lang w:val="en-GB"/>
        </w:rPr>
        <w:t>(</w:t>
      </w:r>
      <w:r w:rsidR="00273D29">
        <w:rPr>
          <w:lang w:val="en-GB"/>
        </w:rPr>
        <w:t>helping texts and annotations for the interviewers</w:t>
      </w:r>
      <w:r>
        <w:rPr>
          <w:lang w:val="en-GB"/>
        </w:rPr>
        <w:t>)</w:t>
      </w:r>
      <w:r w:rsidR="00273D29">
        <w:rPr>
          <w:lang w:val="en-GB"/>
        </w:rPr>
        <w:t xml:space="preserve"> and </w:t>
      </w:r>
      <w:r>
        <w:rPr>
          <w:lang w:val="en-GB"/>
        </w:rPr>
        <w:t xml:space="preserve">similar </w:t>
      </w:r>
      <w:r w:rsidR="00273D29">
        <w:rPr>
          <w:lang w:val="en-GB"/>
        </w:rPr>
        <w:t xml:space="preserve">warnings during the interview situation. But not all survey questions on housing could be harmonised in such a comprehensive way. </w:t>
      </w:r>
      <w:r w:rsidR="00154758">
        <w:rPr>
          <w:lang w:val="en-GB"/>
        </w:rPr>
        <w:t xml:space="preserve">A set of </w:t>
      </w:r>
      <w:r w:rsidR="00FB5F1D">
        <w:rPr>
          <w:lang w:val="en-GB"/>
        </w:rPr>
        <w:t>questions w</w:t>
      </w:r>
      <w:r w:rsidR="00154758">
        <w:rPr>
          <w:lang w:val="en-GB"/>
        </w:rPr>
        <w:t>as</w:t>
      </w:r>
      <w:r w:rsidR="00FB5F1D">
        <w:rPr>
          <w:lang w:val="en-GB"/>
        </w:rPr>
        <w:t xml:space="preserve"> </w:t>
      </w:r>
      <w:r w:rsidR="0089375B">
        <w:rPr>
          <w:lang w:val="en-GB"/>
        </w:rPr>
        <w:t>harmonised,</w:t>
      </w:r>
      <w:r w:rsidR="00154758">
        <w:rPr>
          <w:lang w:val="en-GB"/>
        </w:rPr>
        <w:t xml:space="preserve"> though the extent of harmonisation differs</w:t>
      </w:r>
      <w:r w:rsidR="003D19D9">
        <w:rPr>
          <w:lang w:val="en-GB"/>
        </w:rPr>
        <w:t xml:space="preserve">: </w:t>
      </w:r>
    </w:p>
    <w:p w:rsidR="008137E1" w:rsidRDefault="004211E9" w:rsidP="008137E1">
      <w:pPr>
        <w:pStyle w:val="Listenabsatz"/>
        <w:numPr>
          <w:ilvl w:val="0"/>
          <w:numId w:val="2"/>
        </w:numPr>
        <w:rPr>
          <w:lang w:val="en-GB"/>
        </w:rPr>
      </w:pPr>
      <w:r>
        <w:rPr>
          <w:lang w:val="en-GB"/>
        </w:rPr>
        <w:t>O</w:t>
      </w:r>
      <w:r w:rsidR="008137E1">
        <w:rPr>
          <w:lang w:val="en-GB"/>
        </w:rPr>
        <w:t>nly annotations were harmonised</w:t>
      </w:r>
      <w:r>
        <w:rPr>
          <w:lang w:val="en-GB"/>
        </w:rPr>
        <w:t xml:space="preserve">, </w:t>
      </w:r>
      <w:r w:rsidR="008137E1">
        <w:rPr>
          <w:lang w:val="en-GB"/>
        </w:rPr>
        <w:t xml:space="preserve">the questions were </w:t>
      </w:r>
      <w:r>
        <w:rPr>
          <w:lang w:val="en-GB"/>
        </w:rPr>
        <w:t xml:space="preserve">not changed, because </w:t>
      </w:r>
      <w:r w:rsidR="00CF02C9">
        <w:rPr>
          <w:lang w:val="en-GB"/>
        </w:rPr>
        <w:t xml:space="preserve">they were </w:t>
      </w:r>
      <w:r w:rsidR="00ED2B31">
        <w:rPr>
          <w:lang w:val="en-GB"/>
        </w:rPr>
        <w:t>asked in the same way</w:t>
      </w:r>
      <w:r w:rsidR="008137E1">
        <w:rPr>
          <w:lang w:val="en-GB"/>
        </w:rPr>
        <w:t xml:space="preserve"> </w:t>
      </w:r>
      <w:r>
        <w:rPr>
          <w:lang w:val="en-GB"/>
        </w:rPr>
        <w:t xml:space="preserve">even </w:t>
      </w:r>
      <w:r w:rsidR="00ED2B31">
        <w:rPr>
          <w:lang w:val="en-GB"/>
        </w:rPr>
        <w:t>before</w:t>
      </w:r>
      <w:r>
        <w:rPr>
          <w:lang w:val="en-GB"/>
        </w:rPr>
        <w:t xml:space="preserve"> harmonisation was started</w:t>
      </w:r>
      <w:r w:rsidR="008137E1">
        <w:rPr>
          <w:lang w:val="en-GB"/>
        </w:rPr>
        <w:t xml:space="preserve"> (e.g. period of construction of the building</w:t>
      </w:r>
      <w:r w:rsidR="00ED2B31">
        <w:rPr>
          <w:lang w:val="en-GB"/>
        </w:rPr>
        <w:t>, number of dwellings per building)</w:t>
      </w:r>
      <w:r w:rsidR="002D5CF0">
        <w:rPr>
          <w:lang w:val="en-GB"/>
        </w:rPr>
        <w:t>.</w:t>
      </w:r>
    </w:p>
    <w:p w:rsidR="008137E1" w:rsidRDefault="00FB5F1D" w:rsidP="008137E1">
      <w:pPr>
        <w:pStyle w:val="Listenabsatz"/>
        <w:numPr>
          <w:ilvl w:val="0"/>
          <w:numId w:val="2"/>
        </w:numPr>
        <w:rPr>
          <w:lang w:val="en-GB"/>
        </w:rPr>
      </w:pPr>
      <w:r>
        <w:rPr>
          <w:lang w:val="en-GB"/>
        </w:rPr>
        <w:t>The formulation of the question and other survey parts and documents (additional text which is displayed for interviewers on the screen, annotations for the interviewers, warnings)</w:t>
      </w:r>
      <w:r w:rsidR="00FA720C">
        <w:rPr>
          <w:lang w:val="en-GB"/>
        </w:rPr>
        <w:t xml:space="preserve"> were harmonised</w:t>
      </w:r>
      <w:r>
        <w:rPr>
          <w:lang w:val="en-GB"/>
        </w:rPr>
        <w:t>: e.g. living space, number of rooms per dwelling and type of kitchen</w:t>
      </w:r>
      <w:r w:rsidR="00FA720C">
        <w:rPr>
          <w:lang w:val="en-GB"/>
        </w:rPr>
        <w:t xml:space="preserve"> (see </w:t>
      </w:r>
      <w:r w:rsidR="00154758">
        <w:rPr>
          <w:lang w:val="en-GB"/>
        </w:rPr>
        <w:t>above</w:t>
      </w:r>
      <w:r w:rsidR="00FA720C">
        <w:rPr>
          <w:lang w:val="en-GB"/>
        </w:rPr>
        <w:t>)</w:t>
      </w:r>
      <w:r w:rsidR="00CF02C9">
        <w:rPr>
          <w:lang w:val="en-GB"/>
        </w:rPr>
        <w:t>, tenure status</w:t>
      </w:r>
      <w:r w:rsidR="00FA720C">
        <w:rPr>
          <w:lang w:val="en-GB"/>
        </w:rPr>
        <w:t xml:space="preserve">. </w:t>
      </w:r>
      <w:r>
        <w:rPr>
          <w:lang w:val="en-GB"/>
        </w:rPr>
        <w:t xml:space="preserve"> </w:t>
      </w:r>
    </w:p>
    <w:p w:rsidR="00FB5F1D" w:rsidRDefault="00FA720C" w:rsidP="008137E1">
      <w:pPr>
        <w:pStyle w:val="Listenabsatz"/>
        <w:numPr>
          <w:ilvl w:val="0"/>
          <w:numId w:val="2"/>
        </w:numPr>
        <w:rPr>
          <w:lang w:val="en-GB"/>
        </w:rPr>
      </w:pPr>
      <w:r>
        <w:rPr>
          <w:lang w:val="en-GB"/>
        </w:rPr>
        <w:t>In some cases, a</w:t>
      </w:r>
      <w:r w:rsidR="009202DF">
        <w:rPr>
          <w:lang w:val="en-GB"/>
        </w:rPr>
        <w:t xml:space="preserve">nnotations were harmonised, the way of asking the question was not changed </w:t>
      </w:r>
      <w:r w:rsidR="004211E9">
        <w:rPr>
          <w:lang w:val="en-GB"/>
        </w:rPr>
        <w:t xml:space="preserve">and </w:t>
      </w:r>
      <w:r>
        <w:rPr>
          <w:lang w:val="en-GB"/>
        </w:rPr>
        <w:t xml:space="preserve">still </w:t>
      </w:r>
      <w:r w:rsidR="004211E9">
        <w:rPr>
          <w:lang w:val="en-GB"/>
        </w:rPr>
        <w:t>differs</w:t>
      </w:r>
      <w:r>
        <w:rPr>
          <w:lang w:val="en-GB"/>
        </w:rPr>
        <w:t xml:space="preserve"> </w:t>
      </w:r>
      <w:r w:rsidR="009202DF">
        <w:rPr>
          <w:lang w:val="en-GB"/>
        </w:rPr>
        <w:t>(e.g. equipment of the dwellings regarding sanitary facilities</w:t>
      </w:r>
      <w:r w:rsidR="004211E9">
        <w:rPr>
          <w:lang w:val="en-GB"/>
        </w:rPr>
        <w:t>, heating installations of the dwelling</w:t>
      </w:r>
      <w:r w:rsidR="00CF02C9">
        <w:rPr>
          <w:lang w:val="en-GB"/>
        </w:rPr>
        <w:t>, garage/parking</w:t>
      </w:r>
      <w:r w:rsidR="009202DF">
        <w:rPr>
          <w:lang w:val="en-GB"/>
        </w:rPr>
        <w:t>)</w:t>
      </w:r>
      <w:r>
        <w:rPr>
          <w:lang w:val="en-GB"/>
        </w:rPr>
        <w:t>.</w:t>
      </w:r>
      <w:r w:rsidR="009202DF">
        <w:rPr>
          <w:lang w:val="en-GB"/>
        </w:rPr>
        <w:t xml:space="preserve"> </w:t>
      </w:r>
    </w:p>
    <w:p w:rsidR="009202DF" w:rsidRDefault="001449A1" w:rsidP="008137E1">
      <w:pPr>
        <w:pStyle w:val="Listenabsatz"/>
        <w:numPr>
          <w:ilvl w:val="0"/>
          <w:numId w:val="2"/>
        </w:numPr>
        <w:rPr>
          <w:lang w:val="en-GB"/>
        </w:rPr>
      </w:pPr>
      <w:r>
        <w:rPr>
          <w:lang w:val="en-GB"/>
        </w:rPr>
        <w:t>Primarily due to imputed rents, a few q</w:t>
      </w:r>
      <w:r w:rsidR="009202DF">
        <w:rPr>
          <w:lang w:val="en-GB"/>
        </w:rPr>
        <w:t xml:space="preserve">uestions were added: </w:t>
      </w:r>
      <w:r w:rsidR="004211E9">
        <w:rPr>
          <w:lang w:val="en-GB"/>
        </w:rPr>
        <w:t>question</w:t>
      </w:r>
      <w:r w:rsidR="00FA720C">
        <w:rPr>
          <w:lang w:val="en-GB"/>
        </w:rPr>
        <w:t>s on</w:t>
      </w:r>
      <w:r w:rsidR="004211E9">
        <w:rPr>
          <w:lang w:val="en-GB"/>
        </w:rPr>
        <w:t xml:space="preserve"> </w:t>
      </w:r>
      <w:r w:rsidR="00FA720C">
        <w:rPr>
          <w:lang w:val="en-GB"/>
        </w:rPr>
        <w:t xml:space="preserve">the </w:t>
      </w:r>
      <w:r w:rsidR="004211E9">
        <w:rPr>
          <w:lang w:val="en-GB"/>
        </w:rPr>
        <w:t xml:space="preserve">outdoor area of the dwelling and </w:t>
      </w:r>
      <w:r w:rsidR="00FA720C">
        <w:rPr>
          <w:lang w:val="en-GB"/>
        </w:rPr>
        <w:t xml:space="preserve">on </w:t>
      </w:r>
      <w:r w:rsidR="004211E9">
        <w:rPr>
          <w:lang w:val="en-GB"/>
        </w:rPr>
        <w:t xml:space="preserve">the elevator in the building </w:t>
      </w:r>
      <w:r>
        <w:rPr>
          <w:lang w:val="en-GB"/>
        </w:rPr>
        <w:t>were added to the Microcensus and reformulated</w:t>
      </w:r>
      <w:r w:rsidR="004211E9">
        <w:rPr>
          <w:lang w:val="en-GB"/>
        </w:rPr>
        <w:t xml:space="preserve"> in EU-SILC to extend the data </w:t>
      </w:r>
      <w:r>
        <w:rPr>
          <w:lang w:val="en-GB"/>
        </w:rPr>
        <w:t>base</w:t>
      </w:r>
      <w:r w:rsidR="004211E9">
        <w:rPr>
          <w:lang w:val="en-GB"/>
        </w:rPr>
        <w:t xml:space="preserve"> for imputed rents. </w:t>
      </w:r>
    </w:p>
    <w:p w:rsidR="004211E9" w:rsidRPr="008137E1" w:rsidRDefault="001449A1" w:rsidP="008137E1">
      <w:pPr>
        <w:pStyle w:val="Listenabsatz"/>
        <w:numPr>
          <w:ilvl w:val="0"/>
          <w:numId w:val="2"/>
        </w:numPr>
        <w:rPr>
          <w:lang w:val="en-GB"/>
        </w:rPr>
      </w:pPr>
      <w:r>
        <w:rPr>
          <w:lang w:val="en-GB"/>
        </w:rPr>
        <w:t>There are still some c</w:t>
      </w:r>
      <w:r w:rsidR="00CF02C9">
        <w:rPr>
          <w:lang w:val="en-GB"/>
        </w:rPr>
        <w:t xml:space="preserve">haracteristics </w:t>
      </w:r>
      <w:r>
        <w:rPr>
          <w:lang w:val="en-GB"/>
        </w:rPr>
        <w:t xml:space="preserve">which were </w:t>
      </w:r>
      <w:r w:rsidR="00CF02C9">
        <w:rPr>
          <w:lang w:val="en-GB"/>
        </w:rPr>
        <w:t>not harmonised</w:t>
      </w:r>
      <w:r>
        <w:rPr>
          <w:lang w:val="en-GB"/>
        </w:rPr>
        <w:t xml:space="preserve">, especially </w:t>
      </w:r>
      <w:r w:rsidR="00154758">
        <w:rPr>
          <w:lang w:val="en-GB"/>
        </w:rPr>
        <w:t xml:space="preserve">those measuring </w:t>
      </w:r>
      <w:r w:rsidR="00CF02C9">
        <w:rPr>
          <w:lang w:val="en-GB"/>
        </w:rPr>
        <w:t>housing costs</w:t>
      </w:r>
      <w:r>
        <w:rPr>
          <w:lang w:val="en-GB"/>
        </w:rPr>
        <w:t xml:space="preserve">. </w:t>
      </w:r>
    </w:p>
    <w:p w:rsidR="004D2F94" w:rsidRPr="002742AF" w:rsidRDefault="005877B8" w:rsidP="004D2F94">
      <w:pPr>
        <w:pStyle w:val="berschrift1"/>
        <w:rPr>
          <w:lang w:val="en-GB"/>
        </w:rPr>
      </w:pPr>
      <w:r w:rsidRPr="002742AF">
        <w:rPr>
          <w:lang w:val="en-GB"/>
        </w:rPr>
        <w:t>Limitations of harmonisation and a</w:t>
      </w:r>
      <w:r w:rsidR="004D2F94" w:rsidRPr="002742AF">
        <w:rPr>
          <w:lang w:val="en-GB"/>
        </w:rPr>
        <w:t>reas left out</w:t>
      </w:r>
      <w:r w:rsidR="002B6E1B" w:rsidRPr="002742AF">
        <w:rPr>
          <w:lang w:val="en-GB"/>
        </w:rPr>
        <w:t xml:space="preserve"> </w:t>
      </w:r>
    </w:p>
    <w:p w:rsidR="00F30D5C" w:rsidRDefault="00A11B33" w:rsidP="00A11B33">
      <w:pPr>
        <w:rPr>
          <w:lang w:val="en-GB"/>
        </w:rPr>
      </w:pPr>
      <w:r w:rsidRPr="00F30D5C">
        <w:rPr>
          <w:lang w:val="en-GB"/>
        </w:rPr>
        <w:t xml:space="preserve">Though it is convincing that all surveys should include the same questions concerning a particular topic, the harmonisation of survey questions has limitations. Harmonisation is not necessarily reasonable when the topic is largely the same, but aims of the questions are different in </w:t>
      </w:r>
      <w:r w:rsidR="006725F3">
        <w:rPr>
          <w:lang w:val="en-GB"/>
        </w:rPr>
        <w:t xml:space="preserve">the </w:t>
      </w:r>
      <w:r w:rsidRPr="00F30D5C">
        <w:rPr>
          <w:lang w:val="en-GB"/>
        </w:rPr>
        <w:t xml:space="preserve">surveys. </w:t>
      </w:r>
      <w:r w:rsidR="00F30D5C" w:rsidRPr="00F30D5C">
        <w:rPr>
          <w:lang w:val="en-GB"/>
        </w:rPr>
        <w:t>One example would be</w:t>
      </w:r>
      <w:r w:rsidRPr="00F30D5C">
        <w:rPr>
          <w:lang w:val="en-GB"/>
        </w:rPr>
        <w:t xml:space="preserve"> the type of heating in EU-SILC on the one hand and in the Microcensus and HBS on the other. EU-SILC aims to measure facilities of the household with respect to the living standa</w:t>
      </w:r>
      <w:r w:rsidR="006725F3">
        <w:rPr>
          <w:lang w:val="en-GB"/>
        </w:rPr>
        <w:t xml:space="preserve">rd and is therefore interested </w:t>
      </w:r>
      <w:r w:rsidRPr="00F30D5C">
        <w:rPr>
          <w:lang w:val="en-GB"/>
        </w:rPr>
        <w:t>in the heating facility of the higher standard</w:t>
      </w:r>
      <w:r w:rsidR="00631629">
        <w:rPr>
          <w:lang w:val="en-GB"/>
        </w:rPr>
        <w:t xml:space="preserve"> (</w:t>
      </w:r>
      <w:r w:rsidR="006725F3">
        <w:rPr>
          <w:lang w:val="en-GB"/>
        </w:rPr>
        <w:t>in case of more than one type of heating</w:t>
      </w:r>
      <w:r w:rsidR="00631629">
        <w:rPr>
          <w:lang w:val="en-GB"/>
        </w:rPr>
        <w:t>)</w:t>
      </w:r>
      <w:r w:rsidRPr="00F30D5C">
        <w:rPr>
          <w:lang w:val="en-GB"/>
        </w:rPr>
        <w:t>. The HBS and to a certain extent the Microcensus</w:t>
      </w:r>
      <w:r w:rsidR="003D19D9">
        <w:rPr>
          <w:lang w:val="en-GB"/>
        </w:rPr>
        <w:t>,</w:t>
      </w:r>
      <w:r w:rsidRPr="00F30D5C">
        <w:rPr>
          <w:lang w:val="en-GB"/>
        </w:rPr>
        <w:t xml:space="preserve"> </w:t>
      </w:r>
      <w:r w:rsidR="000447D0">
        <w:rPr>
          <w:lang w:val="en-GB"/>
        </w:rPr>
        <w:t xml:space="preserve">however, </w:t>
      </w:r>
      <w:r w:rsidRPr="00F30D5C">
        <w:rPr>
          <w:lang w:val="en-GB"/>
        </w:rPr>
        <w:t>is interested in the structure of household</w:t>
      </w:r>
      <w:r w:rsidR="006725F3">
        <w:rPr>
          <w:lang w:val="en-GB"/>
        </w:rPr>
        <w:t xml:space="preserve"> costs</w:t>
      </w:r>
      <w:r w:rsidRPr="00F30D5C">
        <w:rPr>
          <w:lang w:val="en-GB"/>
        </w:rPr>
        <w:t xml:space="preserve"> and therefore </w:t>
      </w:r>
      <w:r w:rsidR="006725F3">
        <w:rPr>
          <w:lang w:val="en-GB"/>
        </w:rPr>
        <w:t xml:space="preserve">is </w:t>
      </w:r>
      <w:r w:rsidRPr="00F30D5C">
        <w:rPr>
          <w:lang w:val="en-GB"/>
        </w:rPr>
        <w:t xml:space="preserve">more interested in the heating facility mainly used by the household. Hence, EU-SILC is interested in what is available for the household, </w:t>
      </w:r>
      <w:r w:rsidR="000447D0">
        <w:rPr>
          <w:lang w:val="en-GB"/>
        </w:rPr>
        <w:t xml:space="preserve">whereas </w:t>
      </w:r>
      <w:r w:rsidRPr="00F30D5C">
        <w:rPr>
          <w:lang w:val="en-GB"/>
        </w:rPr>
        <w:t xml:space="preserve">HBS and Microcensus </w:t>
      </w:r>
      <w:r w:rsidR="000447D0">
        <w:rPr>
          <w:lang w:val="en-GB"/>
        </w:rPr>
        <w:t xml:space="preserve">focuses on </w:t>
      </w:r>
      <w:r w:rsidRPr="00F30D5C">
        <w:rPr>
          <w:lang w:val="en-GB"/>
        </w:rPr>
        <w:t xml:space="preserve">what is used </w:t>
      </w:r>
      <w:r w:rsidR="00F30D5C">
        <w:rPr>
          <w:lang w:val="en-GB"/>
        </w:rPr>
        <w:t>by</w:t>
      </w:r>
      <w:r w:rsidRPr="00F30D5C">
        <w:rPr>
          <w:lang w:val="en-GB"/>
        </w:rPr>
        <w:t xml:space="preserve"> the household. In most of </w:t>
      </w:r>
      <w:r w:rsidR="00F30D5C">
        <w:rPr>
          <w:lang w:val="en-GB"/>
        </w:rPr>
        <w:t>households</w:t>
      </w:r>
      <w:r w:rsidRPr="00F30D5C">
        <w:rPr>
          <w:lang w:val="en-GB"/>
        </w:rPr>
        <w:t xml:space="preserve"> there would </w:t>
      </w:r>
      <w:r w:rsidR="00F30D5C">
        <w:rPr>
          <w:lang w:val="en-GB"/>
        </w:rPr>
        <w:t xml:space="preserve">not </w:t>
      </w:r>
      <w:r w:rsidRPr="00F30D5C">
        <w:rPr>
          <w:lang w:val="en-GB"/>
        </w:rPr>
        <w:t>be a</w:t>
      </w:r>
      <w:r w:rsidR="00F30D5C">
        <w:rPr>
          <w:lang w:val="en-GB"/>
        </w:rPr>
        <w:t>ny</w:t>
      </w:r>
      <w:r w:rsidRPr="00F30D5C">
        <w:rPr>
          <w:lang w:val="en-GB"/>
        </w:rPr>
        <w:t xml:space="preserve"> </w:t>
      </w:r>
      <w:r w:rsidRPr="00F30D5C">
        <w:rPr>
          <w:lang w:val="en-GB"/>
        </w:rPr>
        <w:lastRenderedPageBreak/>
        <w:t>difference betw</w:t>
      </w:r>
      <w:r w:rsidR="002D5CF0">
        <w:rPr>
          <w:lang w:val="en-GB"/>
        </w:rPr>
        <w:t>een these two approaches, but for</w:t>
      </w:r>
      <w:r w:rsidRPr="00F30D5C">
        <w:rPr>
          <w:lang w:val="en-GB"/>
        </w:rPr>
        <w:t xml:space="preserve"> the remaining </w:t>
      </w:r>
      <w:r w:rsidR="002D5CF0">
        <w:rPr>
          <w:lang w:val="en-GB"/>
        </w:rPr>
        <w:t>households</w:t>
      </w:r>
      <w:r w:rsidRPr="00F30D5C">
        <w:rPr>
          <w:lang w:val="en-GB"/>
        </w:rPr>
        <w:t xml:space="preserve"> this is the difference that matters. </w:t>
      </w:r>
    </w:p>
    <w:p w:rsidR="00A11B33" w:rsidRPr="00F30D5C" w:rsidRDefault="00F30D5C" w:rsidP="00A11B33">
      <w:pPr>
        <w:rPr>
          <w:lang w:val="en-GB"/>
        </w:rPr>
      </w:pPr>
      <w:r>
        <w:rPr>
          <w:lang w:val="en-GB"/>
        </w:rPr>
        <w:t xml:space="preserve">With regard to some other survey questions </w:t>
      </w:r>
      <w:r w:rsidR="00A11B33" w:rsidRPr="00F30D5C">
        <w:rPr>
          <w:lang w:val="en-GB"/>
        </w:rPr>
        <w:t>the legal regulations of the survey</w:t>
      </w:r>
      <w:r>
        <w:rPr>
          <w:lang w:val="en-GB"/>
        </w:rPr>
        <w:t>s</w:t>
      </w:r>
      <w:r w:rsidR="00A11B33" w:rsidRPr="00F30D5C">
        <w:rPr>
          <w:lang w:val="en-GB"/>
        </w:rPr>
        <w:t xml:space="preserve"> prohibit to change the content of the question and consequently </w:t>
      </w:r>
      <w:r w:rsidR="000447D0">
        <w:rPr>
          <w:lang w:val="en-GB"/>
        </w:rPr>
        <w:t xml:space="preserve">impede </w:t>
      </w:r>
      <w:r w:rsidR="00A11B33" w:rsidRPr="00F30D5C">
        <w:rPr>
          <w:lang w:val="en-GB"/>
        </w:rPr>
        <w:t xml:space="preserve">harmonisation. </w:t>
      </w:r>
      <w:r w:rsidR="00631629">
        <w:rPr>
          <w:lang w:val="en-GB"/>
        </w:rPr>
        <w:t>C</w:t>
      </w:r>
      <w:r w:rsidR="00A11B33" w:rsidRPr="00F30D5C">
        <w:rPr>
          <w:lang w:val="en-GB"/>
        </w:rPr>
        <w:t>once</w:t>
      </w:r>
      <w:r w:rsidR="00631629">
        <w:rPr>
          <w:lang w:val="en-GB"/>
        </w:rPr>
        <w:t xml:space="preserve">rns about breaks in time series </w:t>
      </w:r>
      <w:r w:rsidR="00A11B33" w:rsidRPr="00F30D5C">
        <w:rPr>
          <w:lang w:val="en-GB"/>
        </w:rPr>
        <w:t>that would occur when the content of particular questions are changed</w:t>
      </w:r>
      <w:r w:rsidR="00631629">
        <w:rPr>
          <w:lang w:val="en-GB"/>
        </w:rPr>
        <w:t xml:space="preserve"> could s</w:t>
      </w:r>
      <w:r w:rsidR="00631629" w:rsidRPr="00F30D5C">
        <w:rPr>
          <w:lang w:val="en-GB"/>
        </w:rPr>
        <w:t>ometimes</w:t>
      </w:r>
      <w:r w:rsidR="00631629">
        <w:rPr>
          <w:lang w:val="en-GB"/>
        </w:rPr>
        <w:t xml:space="preserve"> be</w:t>
      </w:r>
      <w:r w:rsidR="00631629" w:rsidRPr="00F30D5C">
        <w:rPr>
          <w:lang w:val="en-GB"/>
        </w:rPr>
        <w:t xml:space="preserve"> </w:t>
      </w:r>
      <w:r w:rsidR="00631629">
        <w:rPr>
          <w:lang w:val="en-GB"/>
        </w:rPr>
        <w:t xml:space="preserve">even more </w:t>
      </w:r>
      <w:r w:rsidR="00631629" w:rsidRPr="00F30D5C">
        <w:rPr>
          <w:lang w:val="en-GB"/>
        </w:rPr>
        <w:t>effective</w:t>
      </w:r>
      <w:r w:rsidR="00631629">
        <w:rPr>
          <w:lang w:val="en-GB"/>
        </w:rPr>
        <w:t xml:space="preserve"> than legal restrictions</w:t>
      </w:r>
      <w:r w:rsidR="00A11B33" w:rsidRPr="00F30D5C">
        <w:rPr>
          <w:lang w:val="en-GB"/>
        </w:rPr>
        <w:t xml:space="preserve"> – and hence prevent harmonisations. These concerns also might occur if the harmonisation with a particular survey endangers the comparability with </w:t>
      </w:r>
      <w:r w:rsidR="000447D0">
        <w:rPr>
          <w:lang w:val="en-GB"/>
        </w:rPr>
        <w:t>other</w:t>
      </w:r>
      <w:r w:rsidR="000447D0" w:rsidRPr="00F30D5C">
        <w:rPr>
          <w:lang w:val="en-GB"/>
        </w:rPr>
        <w:t xml:space="preserve"> </w:t>
      </w:r>
      <w:r w:rsidR="00A11B33" w:rsidRPr="00F30D5C">
        <w:rPr>
          <w:lang w:val="en-GB"/>
        </w:rPr>
        <w:t>survey</w:t>
      </w:r>
      <w:r w:rsidR="002D5CF0">
        <w:rPr>
          <w:lang w:val="en-GB"/>
        </w:rPr>
        <w:t>s</w:t>
      </w:r>
      <w:r w:rsidR="00A11B33" w:rsidRPr="00F30D5C">
        <w:rPr>
          <w:lang w:val="en-GB"/>
        </w:rPr>
        <w:t xml:space="preserve"> </w:t>
      </w:r>
      <w:r w:rsidR="00A11B33" w:rsidRPr="00F30D5C">
        <w:rPr>
          <w:lang w:val="en-GB"/>
        </w:rPr>
        <w:t>or statistics.</w:t>
      </w:r>
    </w:p>
    <w:p w:rsidR="00A11B33" w:rsidRPr="00F30D5C" w:rsidRDefault="000447D0" w:rsidP="00A11B33">
      <w:pPr>
        <w:rPr>
          <w:lang w:val="en-GB"/>
        </w:rPr>
      </w:pPr>
      <w:r>
        <w:rPr>
          <w:lang w:val="en-GB"/>
        </w:rPr>
        <w:t>In sum</w:t>
      </w:r>
      <w:r w:rsidR="00A11B33" w:rsidRPr="00F30D5C">
        <w:rPr>
          <w:lang w:val="en-GB"/>
        </w:rPr>
        <w:t>, harmonising is necessary</w:t>
      </w:r>
      <w:r w:rsidR="00F30D5C">
        <w:rPr>
          <w:lang w:val="en-GB"/>
        </w:rPr>
        <w:t>,</w:t>
      </w:r>
      <w:r w:rsidR="00A11B33" w:rsidRPr="00F30D5C">
        <w:rPr>
          <w:lang w:val="en-GB"/>
        </w:rPr>
        <w:t xml:space="preserve"> reasonable and possible, but not under all circumstances. These circumstances a</w:t>
      </w:r>
      <w:r w:rsidR="003D19D9">
        <w:rPr>
          <w:lang w:val="en-GB"/>
        </w:rPr>
        <w:t>re</w:t>
      </w:r>
      <w:r w:rsidR="00A11B33" w:rsidRPr="00F30D5C">
        <w:rPr>
          <w:lang w:val="en-GB"/>
        </w:rPr>
        <w:t xml:space="preserve"> defined by an evaluation of the trade-off connected to the harmonisation and an account of the requirements of each particular question under consideration. As compelling as harmonisation sounds </w:t>
      </w:r>
      <w:r w:rsidR="00F30D5C" w:rsidRPr="00F30D5C">
        <w:rPr>
          <w:lang w:val="en-GB"/>
        </w:rPr>
        <w:t xml:space="preserve">in most of the cases </w:t>
      </w:r>
      <w:r w:rsidR="00A11B33" w:rsidRPr="00F30D5C">
        <w:rPr>
          <w:lang w:val="en-GB"/>
        </w:rPr>
        <w:t>it also mean</w:t>
      </w:r>
      <w:r w:rsidR="00F30D5C">
        <w:rPr>
          <w:lang w:val="en-GB"/>
        </w:rPr>
        <w:t>s</w:t>
      </w:r>
      <w:r w:rsidR="00A11B33" w:rsidRPr="00F30D5C">
        <w:rPr>
          <w:lang w:val="en-GB"/>
        </w:rPr>
        <w:t xml:space="preserve"> a change of a continuously con</w:t>
      </w:r>
      <w:r w:rsidR="00631629">
        <w:rPr>
          <w:lang w:val="en-GB"/>
        </w:rPr>
        <w:t>ducted and established (part of</w:t>
      </w:r>
      <w:r w:rsidR="00A11B33" w:rsidRPr="00F30D5C">
        <w:rPr>
          <w:lang w:val="en-GB"/>
        </w:rPr>
        <w:t xml:space="preserve"> a</w:t>
      </w:r>
      <w:r w:rsidR="00631629">
        <w:rPr>
          <w:lang w:val="en-GB"/>
        </w:rPr>
        <w:t>)</w:t>
      </w:r>
      <w:r w:rsidR="00A11B33" w:rsidRPr="00F30D5C">
        <w:rPr>
          <w:lang w:val="en-GB"/>
        </w:rPr>
        <w:t xml:space="preserve"> survey. And these changes directly or indirectly might </w:t>
      </w:r>
      <w:r w:rsidR="00631629">
        <w:rPr>
          <w:lang w:val="en-GB"/>
        </w:rPr>
        <w:t>lead to</w:t>
      </w:r>
      <w:r w:rsidR="00A11B33" w:rsidRPr="00F30D5C">
        <w:rPr>
          <w:lang w:val="en-GB"/>
        </w:rPr>
        <w:t xml:space="preserve"> problems. One example is the </w:t>
      </w:r>
      <w:r>
        <w:rPr>
          <w:lang w:val="en-GB"/>
        </w:rPr>
        <w:t>measurement</w:t>
      </w:r>
      <w:r w:rsidRPr="00F30D5C">
        <w:rPr>
          <w:lang w:val="en-GB"/>
        </w:rPr>
        <w:t xml:space="preserve"> </w:t>
      </w:r>
      <w:r w:rsidR="00A11B33" w:rsidRPr="00F30D5C">
        <w:rPr>
          <w:lang w:val="en-GB"/>
        </w:rPr>
        <w:t>of housing costs in th</w:t>
      </w:r>
      <w:r w:rsidR="00F30D5C">
        <w:rPr>
          <w:lang w:val="en-GB"/>
        </w:rPr>
        <w:t>e Microcensus: any change of the</w:t>
      </w:r>
      <w:r w:rsidR="00A11B33" w:rsidRPr="00F30D5C">
        <w:rPr>
          <w:lang w:val="en-GB"/>
        </w:rPr>
        <w:t>s</w:t>
      </w:r>
      <w:r w:rsidR="00F30D5C">
        <w:rPr>
          <w:lang w:val="en-GB"/>
        </w:rPr>
        <w:t>e</w:t>
      </w:r>
      <w:r w:rsidR="00A11B33" w:rsidRPr="00F30D5C">
        <w:rPr>
          <w:lang w:val="en-GB"/>
        </w:rPr>
        <w:t xml:space="preserve"> </w:t>
      </w:r>
      <w:r w:rsidR="00F30D5C">
        <w:rPr>
          <w:lang w:val="en-GB"/>
        </w:rPr>
        <w:t>variables w</w:t>
      </w:r>
      <w:r w:rsidR="00A11B33" w:rsidRPr="00F30D5C">
        <w:rPr>
          <w:lang w:val="en-GB"/>
        </w:rPr>
        <w:t>ould lead to significant changes in the calculation of the CPI which is partly derived from these costs.</w:t>
      </w:r>
    </w:p>
    <w:p w:rsidR="00A11B33" w:rsidRPr="00F30D5C" w:rsidRDefault="00A11B33" w:rsidP="00A11B33">
      <w:pPr>
        <w:rPr>
          <w:lang w:val="en-GB"/>
        </w:rPr>
      </w:pPr>
      <w:r w:rsidRPr="00F30D5C">
        <w:rPr>
          <w:lang w:val="en-GB"/>
        </w:rPr>
        <w:t>Concerning the topic of housing in the Microcensus, EU-SILC and the HBS, several areas have been left out. Particularly questions concerning housings costs were considered too complex, demanding and specific to harmonise in this first round</w:t>
      </w:r>
      <w:r w:rsidR="00557218">
        <w:rPr>
          <w:lang w:val="en-GB"/>
        </w:rPr>
        <w:t xml:space="preserve"> and within the strategy of input harmonisation</w:t>
      </w:r>
      <w:r w:rsidRPr="00F30D5C">
        <w:rPr>
          <w:lang w:val="en-GB"/>
        </w:rPr>
        <w:t>. Housing costs are of particular importance for all three surveys and each survey is interested in specific aspects of housing costs. Complex and legally sophisticated definitions and concepts additionally complicate</w:t>
      </w:r>
      <w:r w:rsidR="00631629">
        <w:rPr>
          <w:lang w:val="en-GB"/>
        </w:rPr>
        <w:t xml:space="preserve"> </w:t>
      </w:r>
      <w:r w:rsidR="00631629" w:rsidRPr="00F30D5C">
        <w:rPr>
          <w:lang w:val="en-GB"/>
        </w:rPr>
        <w:t>harmonisation</w:t>
      </w:r>
      <w:r w:rsidR="00631629">
        <w:rPr>
          <w:lang w:val="en-GB"/>
        </w:rPr>
        <w:t xml:space="preserve"> </w:t>
      </w:r>
      <w:r w:rsidR="00631629">
        <w:rPr>
          <w:lang w:val="en-GB"/>
        </w:rPr>
        <w:t xml:space="preserve">attempts </w:t>
      </w:r>
      <w:r w:rsidR="00F30D5C">
        <w:rPr>
          <w:lang w:val="en-GB"/>
        </w:rPr>
        <w:t>within this area</w:t>
      </w:r>
      <w:r w:rsidRPr="00F30D5C">
        <w:rPr>
          <w:lang w:val="en-GB"/>
        </w:rPr>
        <w:t xml:space="preserve">. </w:t>
      </w:r>
    </w:p>
    <w:p w:rsidR="004F0763" w:rsidRPr="00065077" w:rsidRDefault="004F0763" w:rsidP="00F47B67">
      <w:pPr>
        <w:pStyle w:val="berschrift1"/>
      </w:pPr>
      <w:r w:rsidRPr="00065077">
        <w:t xml:space="preserve">Next </w:t>
      </w:r>
      <w:proofErr w:type="spellStart"/>
      <w:r w:rsidRPr="00065077">
        <w:t>steps</w:t>
      </w:r>
      <w:proofErr w:type="spellEnd"/>
      <w:r w:rsidR="002B6E1B" w:rsidRPr="00065077">
        <w:t xml:space="preserve"> </w:t>
      </w:r>
    </w:p>
    <w:p w:rsidR="00301318" w:rsidRDefault="00301318" w:rsidP="002C26DB">
      <w:pPr>
        <w:rPr>
          <w:lang w:val="en-GB"/>
        </w:rPr>
      </w:pPr>
      <w:r>
        <w:rPr>
          <w:lang w:val="en-GB"/>
        </w:rPr>
        <w:t xml:space="preserve">The major steps in the </w:t>
      </w:r>
      <w:r w:rsidR="00631629">
        <w:rPr>
          <w:lang w:val="en-GB"/>
        </w:rPr>
        <w:t xml:space="preserve">harmonisation </w:t>
      </w:r>
      <w:r>
        <w:rPr>
          <w:lang w:val="en-GB"/>
        </w:rPr>
        <w:t xml:space="preserve">process of the Microcensus Housing Survey, EU-SILC and the </w:t>
      </w:r>
      <w:r w:rsidR="001C4034">
        <w:rPr>
          <w:lang w:val="en-GB"/>
        </w:rPr>
        <w:t>HBS</w:t>
      </w:r>
      <w:r>
        <w:rPr>
          <w:lang w:val="en-GB"/>
        </w:rPr>
        <w:t xml:space="preserve"> took place in 2013. In the first half of the year, the comparison and analysis on conceptual, technical and empirical level was conducted. In the second half of the year, changes were implemented into the questionnaires and the administrative processes of the surveys. The harmonised measurement instruments are fielded in 2014 within the Microcensus and EU-SILC, so that at the end of this year they can be analysed and used at least for </w:t>
      </w:r>
      <w:r w:rsidR="000447D0">
        <w:rPr>
          <w:lang w:val="en-GB"/>
        </w:rPr>
        <w:t xml:space="preserve">these </w:t>
      </w:r>
      <w:r>
        <w:rPr>
          <w:lang w:val="en-GB"/>
        </w:rPr>
        <w:t xml:space="preserve">two surveys. The field work of the </w:t>
      </w:r>
      <w:r w:rsidR="001C4034">
        <w:rPr>
          <w:lang w:val="en-GB"/>
        </w:rPr>
        <w:t>HBS</w:t>
      </w:r>
      <w:r>
        <w:rPr>
          <w:lang w:val="en-GB"/>
        </w:rPr>
        <w:t xml:space="preserve"> will start </w:t>
      </w:r>
      <w:r w:rsidR="00AF0F1B">
        <w:rPr>
          <w:lang w:val="en-GB"/>
        </w:rPr>
        <w:t xml:space="preserve">at autumn </w:t>
      </w:r>
      <w:r w:rsidR="00A11B33">
        <w:rPr>
          <w:lang w:val="en-GB"/>
        </w:rPr>
        <w:t xml:space="preserve">2014 and last until </w:t>
      </w:r>
      <w:r w:rsidR="00972B6A">
        <w:rPr>
          <w:lang w:val="en-GB"/>
        </w:rPr>
        <w:t>autumn</w:t>
      </w:r>
      <w:r w:rsidR="00A11B33">
        <w:rPr>
          <w:lang w:val="en-GB"/>
        </w:rPr>
        <w:t xml:space="preserve"> 2015</w:t>
      </w:r>
      <w:r w:rsidR="00AF0F1B">
        <w:rPr>
          <w:lang w:val="en-GB"/>
        </w:rPr>
        <w:t xml:space="preserve">. </w:t>
      </w:r>
      <w:r>
        <w:rPr>
          <w:lang w:val="en-GB"/>
        </w:rPr>
        <w:t xml:space="preserve"> </w:t>
      </w:r>
    </w:p>
    <w:p w:rsidR="00D76C23" w:rsidRDefault="00AF0F1B" w:rsidP="002C26DB">
      <w:pPr>
        <w:rPr>
          <w:lang w:val="en-GB"/>
        </w:rPr>
      </w:pPr>
      <w:r>
        <w:rPr>
          <w:lang w:val="en-GB"/>
        </w:rPr>
        <w:t xml:space="preserve">Concurrently, the reporting and publication on housing is </w:t>
      </w:r>
      <w:r w:rsidR="000447D0">
        <w:rPr>
          <w:lang w:val="en-GB"/>
        </w:rPr>
        <w:t xml:space="preserve">being </w:t>
      </w:r>
      <w:r w:rsidR="00986889">
        <w:rPr>
          <w:lang w:val="en-GB"/>
        </w:rPr>
        <w:t>re-</w:t>
      </w:r>
      <w:r>
        <w:rPr>
          <w:lang w:val="en-GB"/>
        </w:rPr>
        <w:t>established</w:t>
      </w:r>
      <w:r w:rsidR="00986889">
        <w:rPr>
          <w:lang w:val="en-GB"/>
        </w:rPr>
        <w:t xml:space="preserve"> within Statistics Austria</w:t>
      </w:r>
      <w:r w:rsidR="00B261F3">
        <w:rPr>
          <w:lang w:val="en-GB"/>
        </w:rPr>
        <w:t>.</w:t>
      </w:r>
      <w:r w:rsidR="00986889">
        <w:rPr>
          <w:lang w:val="en-GB"/>
        </w:rPr>
        <w:t xml:space="preserve"> E.g. the main report on housing which was</w:t>
      </w:r>
      <w:r w:rsidR="00972B6A">
        <w:rPr>
          <w:lang w:val="en-GB"/>
        </w:rPr>
        <w:t xml:space="preserve"> solely</w:t>
      </w:r>
      <w:r w:rsidR="00986889">
        <w:rPr>
          <w:lang w:val="en-GB"/>
        </w:rPr>
        <w:t xml:space="preserve"> based on the Microcensus </w:t>
      </w:r>
      <w:r w:rsidR="00986889">
        <w:rPr>
          <w:lang w:val="en-GB"/>
        </w:rPr>
        <w:lastRenderedPageBreak/>
        <w:t xml:space="preserve">Housing Survey so far </w:t>
      </w:r>
      <w:r w:rsidR="00CD3D50">
        <w:rPr>
          <w:lang w:val="en-GB"/>
        </w:rPr>
        <w:t>[5</w:t>
      </w:r>
      <w:r w:rsidR="00972B6A">
        <w:rPr>
          <w:lang w:val="en-GB"/>
        </w:rPr>
        <w:t xml:space="preserve">] </w:t>
      </w:r>
      <w:r w:rsidR="00986889">
        <w:rPr>
          <w:lang w:val="en-GB"/>
        </w:rPr>
        <w:t xml:space="preserve">will be changed into a general housing report which will include several surveys </w:t>
      </w:r>
      <w:r w:rsidR="00972B6A">
        <w:rPr>
          <w:lang w:val="en-GB"/>
        </w:rPr>
        <w:t xml:space="preserve">and statistics </w:t>
      </w:r>
      <w:r w:rsidR="00986889">
        <w:rPr>
          <w:lang w:val="en-GB"/>
        </w:rPr>
        <w:t xml:space="preserve">on housing. Therefore, also data analysis and reporting will be harmonised – </w:t>
      </w:r>
      <w:r w:rsidR="00D76C23">
        <w:rPr>
          <w:lang w:val="en-GB"/>
        </w:rPr>
        <w:t xml:space="preserve">first of all </w:t>
      </w:r>
      <w:r w:rsidR="00986889">
        <w:rPr>
          <w:lang w:val="en-GB"/>
        </w:rPr>
        <w:t>Microcensus and EU-SILC</w:t>
      </w:r>
      <w:r w:rsidR="00D76C23">
        <w:rPr>
          <w:lang w:val="en-GB"/>
        </w:rPr>
        <w:t xml:space="preserve">, but also the </w:t>
      </w:r>
      <w:r w:rsidR="001C4034">
        <w:rPr>
          <w:lang w:val="en-GB"/>
        </w:rPr>
        <w:t>HBS</w:t>
      </w:r>
      <w:r w:rsidR="00972B6A">
        <w:rPr>
          <w:lang w:val="en-GB"/>
        </w:rPr>
        <w:t xml:space="preserve"> at a later date</w:t>
      </w:r>
      <w:r w:rsidR="00D76C23">
        <w:rPr>
          <w:lang w:val="en-GB"/>
        </w:rPr>
        <w:t xml:space="preserve">. The presentation and description of results within one report </w:t>
      </w:r>
      <w:r w:rsidR="00972B6A">
        <w:rPr>
          <w:lang w:val="en-GB"/>
        </w:rPr>
        <w:t xml:space="preserve">will </w:t>
      </w:r>
      <w:r w:rsidR="00631629">
        <w:rPr>
          <w:lang w:val="en-GB"/>
        </w:rPr>
        <w:t xml:space="preserve">only </w:t>
      </w:r>
      <w:r w:rsidR="00972B6A">
        <w:rPr>
          <w:lang w:val="en-GB"/>
        </w:rPr>
        <w:t xml:space="preserve">be successful </w:t>
      </w:r>
      <w:r w:rsidR="00D76C23">
        <w:rPr>
          <w:lang w:val="en-GB"/>
        </w:rPr>
        <w:t xml:space="preserve">if the differences and similarities of concepts, definition and terms will be communicated in an adequate and user-friendly way. </w:t>
      </w:r>
    </w:p>
    <w:p w:rsidR="001C0AE7" w:rsidRPr="001C0AE7" w:rsidRDefault="004D2F94" w:rsidP="005877B8">
      <w:pPr>
        <w:pStyle w:val="berschrift1"/>
      </w:pPr>
      <w:proofErr w:type="spellStart"/>
      <w:r w:rsidRPr="00065077">
        <w:t>Conclusions</w:t>
      </w:r>
      <w:proofErr w:type="spellEnd"/>
      <w:r w:rsidR="002B6E1B" w:rsidRPr="00065077">
        <w:t xml:space="preserve"> </w:t>
      </w:r>
    </w:p>
    <w:p w:rsidR="00EC67CD" w:rsidRPr="00EC67CD" w:rsidRDefault="00EC67CD" w:rsidP="00EC67CD">
      <w:pPr>
        <w:rPr>
          <w:lang w:val="en-GB"/>
        </w:rPr>
      </w:pPr>
      <w:r w:rsidRPr="00EC67CD">
        <w:rPr>
          <w:lang w:val="en-GB"/>
        </w:rPr>
        <w:t xml:space="preserve">The harmonisation </w:t>
      </w:r>
      <w:r>
        <w:rPr>
          <w:lang w:val="en-GB"/>
        </w:rPr>
        <w:t xml:space="preserve">of </w:t>
      </w:r>
      <w:r w:rsidRPr="00EC67CD">
        <w:rPr>
          <w:lang w:val="en-GB"/>
        </w:rPr>
        <w:t>housing questions in the Microcensus, EU-SILC and the H</w:t>
      </w:r>
      <w:r>
        <w:rPr>
          <w:lang w:val="en-GB"/>
        </w:rPr>
        <w:t xml:space="preserve">ousehold Budget Survey </w:t>
      </w:r>
      <w:r w:rsidRPr="00EC67CD">
        <w:rPr>
          <w:lang w:val="en-GB"/>
        </w:rPr>
        <w:t xml:space="preserve">were the first steps towards increased interdependence of surveys at Statistics Austria. The </w:t>
      </w:r>
      <w:r>
        <w:rPr>
          <w:lang w:val="en-GB"/>
        </w:rPr>
        <w:t xml:space="preserve">focus so far </w:t>
      </w:r>
      <w:r w:rsidRPr="00EC67CD">
        <w:rPr>
          <w:lang w:val="en-GB"/>
        </w:rPr>
        <w:t>was restricted to a handful of variables</w:t>
      </w:r>
      <w:r w:rsidR="00557218">
        <w:rPr>
          <w:lang w:val="en-GB"/>
        </w:rPr>
        <w:t xml:space="preserve"> within the scope of an input harmonisation strategy</w:t>
      </w:r>
      <w:r w:rsidRPr="00EC67CD">
        <w:rPr>
          <w:lang w:val="en-GB"/>
        </w:rPr>
        <w:t xml:space="preserve">; other housing related variables (mainly </w:t>
      </w:r>
      <w:r>
        <w:rPr>
          <w:lang w:val="en-GB"/>
        </w:rPr>
        <w:t xml:space="preserve">covering costs) are </w:t>
      </w:r>
      <w:r>
        <w:rPr>
          <w:lang w:val="en-GB"/>
        </w:rPr>
        <w:t xml:space="preserve">not </w:t>
      </w:r>
      <w:r w:rsidRPr="00EC67CD">
        <w:rPr>
          <w:lang w:val="en-GB"/>
        </w:rPr>
        <w:t>harmonised</w:t>
      </w:r>
      <w:r w:rsidR="000447D0">
        <w:rPr>
          <w:lang w:val="en-GB"/>
        </w:rPr>
        <w:t xml:space="preserve"> yet</w:t>
      </w:r>
      <w:r w:rsidRPr="00EC67CD">
        <w:rPr>
          <w:lang w:val="en-GB"/>
        </w:rPr>
        <w:t xml:space="preserve"> </w:t>
      </w:r>
      <w:r w:rsidRPr="00EC67CD">
        <w:rPr>
          <w:lang w:val="en-GB"/>
        </w:rPr>
        <w:t>– for a good reason. Nonetheless, this process of harmonisation will not</w:t>
      </w:r>
      <w:r w:rsidR="008C30D6">
        <w:rPr>
          <w:lang w:val="en-GB"/>
        </w:rPr>
        <w:t xml:space="preserve"> come</w:t>
      </w:r>
      <w:r w:rsidRPr="00EC67CD">
        <w:rPr>
          <w:lang w:val="en-GB"/>
        </w:rPr>
        <w:t xml:space="preserve"> to a </w:t>
      </w:r>
      <w:r w:rsidR="000447D0" w:rsidRPr="00EC67CD">
        <w:rPr>
          <w:lang w:val="en-GB"/>
        </w:rPr>
        <w:t>halt</w:t>
      </w:r>
      <w:r w:rsidR="00631629">
        <w:rPr>
          <w:lang w:val="en-GB"/>
        </w:rPr>
        <w:t>. T</w:t>
      </w:r>
      <w:r w:rsidRPr="00EC67CD">
        <w:rPr>
          <w:lang w:val="en-GB"/>
        </w:rPr>
        <w:t>he next steps will include an evaluation of the results of the harmonised survey waves and reconsidering harmonising the financial dimension of housing.</w:t>
      </w:r>
    </w:p>
    <w:p w:rsidR="00EC67CD" w:rsidRPr="00EC67CD" w:rsidRDefault="00EC67CD" w:rsidP="00EC67CD">
      <w:pPr>
        <w:rPr>
          <w:lang w:val="en-GB"/>
        </w:rPr>
      </w:pPr>
      <w:r w:rsidRPr="00EC67CD">
        <w:rPr>
          <w:lang w:val="en-GB"/>
        </w:rPr>
        <w:t xml:space="preserve">What has been learned from the process? Harmonisation, particularly the reconcilement of different interests, different aims and different legal requirements is a cumbersome and time-consuming process. Additionally, interventions in and changes of long-running continuous </w:t>
      </w:r>
      <w:r w:rsidR="002F24CF" w:rsidRPr="008C30D6">
        <w:rPr>
          <w:lang w:val="en-GB"/>
        </w:rPr>
        <w:t>surveys</w:t>
      </w:r>
      <w:r w:rsidR="002F24CF">
        <w:rPr>
          <w:lang w:val="en-GB"/>
        </w:rPr>
        <w:t xml:space="preserve"> </w:t>
      </w:r>
      <w:r w:rsidRPr="00EC67CD">
        <w:rPr>
          <w:lang w:val="en-GB"/>
        </w:rPr>
        <w:t>might create problems for time series, interconnections with o</w:t>
      </w:r>
      <w:bookmarkStart w:id="0" w:name="_GoBack"/>
      <w:bookmarkEnd w:id="0"/>
      <w:r w:rsidRPr="00EC67CD">
        <w:rPr>
          <w:lang w:val="en-GB"/>
        </w:rPr>
        <w:t xml:space="preserve">ther statistics and possibly with legal frameworks. Yet, the gains of the process compensate for the difficulties. Harmonised variables allow for an easier and methodologically sound comparison of the surveys (improving the control of </w:t>
      </w:r>
      <w:r w:rsidR="00557218">
        <w:rPr>
          <w:lang w:val="en-GB"/>
        </w:rPr>
        <w:t xml:space="preserve">survey </w:t>
      </w:r>
      <w:r w:rsidRPr="00EC67CD">
        <w:rPr>
          <w:lang w:val="en-GB"/>
        </w:rPr>
        <w:t xml:space="preserve">quality) and increase the use of datasets </w:t>
      </w:r>
      <w:r w:rsidR="00091B2A">
        <w:rPr>
          <w:lang w:val="en-GB"/>
        </w:rPr>
        <w:t xml:space="preserve">matching </w:t>
      </w:r>
      <w:r w:rsidRPr="00EC67CD">
        <w:rPr>
          <w:lang w:val="en-GB"/>
        </w:rPr>
        <w:t>these harmonised datasets (e.g.</w:t>
      </w:r>
      <w:r w:rsidR="000F24D8">
        <w:rPr>
          <w:lang w:val="en-GB"/>
        </w:rPr>
        <w:t xml:space="preserve"> in a project, that matches the income variables of EU-SILC with the larger sample of the Microcensus</w:t>
      </w:r>
      <w:r w:rsidRPr="00EC67CD">
        <w:rPr>
          <w:lang w:val="en-GB"/>
        </w:rPr>
        <w:t xml:space="preserve">). </w:t>
      </w:r>
    </w:p>
    <w:p w:rsidR="00EC67CD" w:rsidRPr="008B0954" w:rsidRDefault="00EC67CD" w:rsidP="00EC67CD">
      <w:pPr>
        <w:rPr>
          <w:lang w:val="en-GB"/>
        </w:rPr>
      </w:pPr>
      <w:r w:rsidRPr="00EC67CD">
        <w:rPr>
          <w:lang w:val="en-GB"/>
        </w:rPr>
        <w:t xml:space="preserve">The process of harmonisation described in this paper in </w:t>
      </w:r>
      <w:r w:rsidR="000447D0">
        <w:rPr>
          <w:lang w:val="en-GB"/>
        </w:rPr>
        <w:t>some</w:t>
      </w:r>
      <w:r w:rsidR="000447D0" w:rsidRPr="00EC67CD">
        <w:rPr>
          <w:lang w:val="en-GB"/>
        </w:rPr>
        <w:t xml:space="preserve"> </w:t>
      </w:r>
      <w:r w:rsidRPr="00EC67CD">
        <w:rPr>
          <w:lang w:val="en-GB"/>
        </w:rPr>
        <w:t xml:space="preserve">way parallels the </w:t>
      </w:r>
      <w:r w:rsidR="000447D0">
        <w:rPr>
          <w:lang w:val="en-GB"/>
        </w:rPr>
        <w:t xml:space="preserve">similar </w:t>
      </w:r>
      <w:r w:rsidRPr="00EC67CD">
        <w:rPr>
          <w:lang w:val="en-GB"/>
        </w:rPr>
        <w:t xml:space="preserve">process of establishing a set of social core variables </w:t>
      </w:r>
      <w:r w:rsidR="00091B2A" w:rsidRPr="00EC67CD">
        <w:rPr>
          <w:lang w:val="en-GB"/>
        </w:rPr>
        <w:t>on</w:t>
      </w:r>
      <w:r w:rsidR="00091B2A">
        <w:rPr>
          <w:lang w:val="en-GB"/>
        </w:rPr>
        <w:t xml:space="preserve"> </w:t>
      </w:r>
      <w:r w:rsidR="00091B2A" w:rsidRPr="00EC67CD">
        <w:rPr>
          <w:lang w:val="en-GB"/>
        </w:rPr>
        <w:t xml:space="preserve">European level </w:t>
      </w:r>
      <w:r w:rsidRPr="00EC67CD">
        <w:rPr>
          <w:lang w:val="en-GB"/>
        </w:rPr>
        <w:t xml:space="preserve">in the main </w:t>
      </w:r>
      <w:r w:rsidRPr="00CE1D0A">
        <w:rPr>
          <w:lang w:val="en-GB"/>
        </w:rPr>
        <w:t>survey</w:t>
      </w:r>
      <w:r w:rsidR="00091B2A" w:rsidRPr="00CE1D0A">
        <w:rPr>
          <w:lang w:val="en-GB"/>
        </w:rPr>
        <w:t>s</w:t>
      </w:r>
      <w:r w:rsidR="00CE1D0A">
        <w:rPr>
          <w:lang w:val="en-GB"/>
        </w:rPr>
        <w:t xml:space="preserve"> </w:t>
      </w:r>
      <w:r w:rsidRPr="00EC67CD">
        <w:rPr>
          <w:lang w:val="en-GB"/>
        </w:rPr>
        <w:t xml:space="preserve">of the European Statistical System (ESS). These social core variables are </w:t>
      </w:r>
      <w:r w:rsidR="00091B2A">
        <w:rPr>
          <w:lang w:val="en-GB"/>
        </w:rPr>
        <w:t>focused</w:t>
      </w:r>
      <w:r w:rsidRPr="00EC67CD">
        <w:rPr>
          <w:lang w:val="en-GB"/>
        </w:rPr>
        <w:t xml:space="preserve"> on the socio-demographic and the labour market dimension, and deliberately leave the housing dimension out. The aim of this set of variables is that all concerned surveys should include </w:t>
      </w:r>
      <w:r w:rsidR="002F24CF">
        <w:rPr>
          <w:lang w:val="en-GB"/>
        </w:rPr>
        <w:t>equivalent</w:t>
      </w:r>
      <w:r w:rsidRPr="00EC67CD">
        <w:rPr>
          <w:lang w:val="en-GB"/>
        </w:rPr>
        <w:t xml:space="preserve"> variables (s</w:t>
      </w:r>
      <w:r w:rsidR="002F24CF">
        <w:rPr>
          <w:lang w:val="en-GB"/>
        </w:rPr>
        <w:t>imilar</w:t>
      </w:r>
      <w:r w:rsidRPr="00EC67CD">
        <w:rPr>
          <w:lang w:val="en-GB"/>
        </w:rPr>
        <w:t xml:space="preserve"> definitions, wording and so on) t</w:t>
      </w:r>
      <w:r w:rsidR="002F24CF">
        <w:rPr>
          <w:lang w:val="en-GB"/>
        </w:rPr>
        <w:t>o allow for a better interconnect</w:t>
      </w:r>
      <w:r w:rsidRPr="00EC67CD">
        <w:rPr>
          <w:lang w:val="en-GB"/>
        </w:rPr>
        <w:t xml:space="preserve">ion of these surveys, for example for statistical matching. </w:t>
      </w:r>
      <w:r w:rsidR="000447D0">
        <w:rPr>
          <w:lang w:val="en-GB"/>
        </w:rPr>
        <w:t>Finally</w:t>
      </w:r>
      <w:r w:rsidRPr="00EC67CD">
        <w:rPr>
          <w:lang w:val="en-GB"/>
        </w:rPr>
        <w:t xml:space="preserve">, one objective could be </w:t>
      </w:r>
      <w:r w:rsidR="00091B2A">
        <w:rPr>
          <w:lang w:val="en-GB"/>
        </w:rPr>
        <w:t>reducing</w:t>
      </w:r>
      <w:r w:rsidRPr="00EC67CD">
        <w:rPr>
          <w:lang w:val="en-GB"/>
        </w:rPr>
        <w:t xml:space="preserve"> the total number of surveys and sample sizes (saving costs and lowering the burden for respondents). </w:t>
      </w:r>
      <w:r w:rsidRPr="00EC67CD">
        <w:rPr>
          <w:lang w:val="en-GB"/>
        </w:rPr>
        <w:t>However</w:t>
      </w:r>
      <w:r w:rsidRPr="00EC67CD">
        <w:rPr>
          <w:lang w:val="en-GB"/>
        </w:rPr>
        <w:t xml:space="preserve">, the process of harmonising the housing questions in Austria stands in </w:t>
      </w:r>
      <w:r w:rsidRPr="00EC67CD">
        <w:rPr>
          <w:lang w:val="en-GB"/>
        </w:rPr>
        <w:lastRenderedPageBreak/>
        <w:t>a greater context of increased coordination of surveys, keeping methodological questions on comparability in mind.</w:t>
      </w:r>
    </w:p>
    <w:p w:rsidR="004D2F94" w:rsidRPr="002742AF" w:rsidRDefault="004D2F94" w:rsidP="004D2F94">
      <w:pPr>
        <w:pStyle w:val="berschrift1"/>
        <w:rPr>
          <w:lang w:val="en-GB"/>
        </w:rPr>
      </w:pPr>
      <w:r w:rsidRPr="002742AF">
        <w:rPr>
          <w:lang w:val="en-GB"/>
        </w:rPr>
        <w:t>References</w:t>
      </w:r>
    </w:p>
    <w:p w:rsidR="00EE7E1F" w:rsidRPr="00EE7E1F" w:rsidRDefault="00EE7E1F" w:rsidP="00EE7E1F">
      <w:pPr>
        <w:rPr>
          <w:lang w:val="en-GB"/>
        </w:rPr>
      </w:pPr>
      <w:r w:rsidRPr="00EE7E1F">
        <w:rPr>
          <w:lang w:val="en-GB"/>
        </w:rPr>
        <w:t>[</w:t>
      </w:r>
      <w:r w:rsidRPr="00EE7E1F">
        <w:rPr>
          <w:lang w:val="en-GB"/>
        </w:rPr>
        <w:t>1</w:t>
      </w:r>
      <w:r w:rsidRPr="00EE7E1F">
        <w:rPr>
          <w:lang w:val="en-GB"/>
        </w:rPr>
        <w:t xml:space="preserve">] </w:t>
      </w:r>
      <w:proofErr w:type="spellStart"/>
      <w:r w:rsidRPr="00EE7E1F">
        <w:rPr>
          <w:lang w:val="en-GB"/>
        </w:rPr>
        <w:t>Ehling</w:t>
      </w:r>
      <w:proofErr w:type="spellEnd"/>
      <w:r w:rsidRPr="00EE7E1F">
        <w:rPr>
          <w:lang w:val="en-GB"/>
        </w:rPr>
        <w:t>, M</w:t>
      </w:r>
      <w:proofErr w:type="gramStart"/>
      <w:r w:rsidRPr="00EE7E1F">
        <w:rPr>
          <w:lang w:val="en-GB"/>
        </w:rPr>
        <w:t>./</w:t>
      </w:r>
      <w:proofErr w:type="spellStart"/>
      <w:proofErr w:type="gramEnd"/>
      <w:r w:rsidRPr="00EE7E1F">
        <w:rPr>
          <w:lang w:val="en-GB"/>
        </w:rPr>
        <w:t>Rendtel</w:t>
      </w:r>
      <w:proofErr w:type="spellEnd"/>
      <w:r w:rsidRPr="00EE7E1F">
        <w:rPr>
          <w:lang w:val="en-GB"/>
        </w:rPr>
        <w:t xml:space="preserve">, U. et al. (2006): Synopsis. </w:t>
      </w:r>
      <w:proofErr w:type="gramStart"/>
      <w:r w:rsidRPr="00EE7E1F">
        <w:rPr>
          <w:lang w:val="en-GB"/>
        </w:rPr>
        <w:t xml:space="preserve">Research Results of </w:t>
      </w:r>
      <w:proofErr w:type="spellStart"/>
      <w:r w:rsidRPr="00EE7E1F">
        <w:rPr>
          <w:lang w:val="en-GB"/>
        </w:rPr>
        <w:t>Ch</w:t>
      </w:r>
      <w:r w:rsidRPr="00EE7E1F">
        <w:rPr>
          <w:lang w:val="en-GB"/>
        </w:rPr>
        <w:t>intex</w:t>
      </w:r>
      <w:proofErr w:type="spellEnd"/>
      <w:r w:rsidRPr="00EE7E1F">
        <w:rPr>
          <w:lang w:val="en-GB"/>
        </w:rPr>
        <w:t xml:space="preserve"> - Summary and Conclusions</w:t>
      </w:r>
      <w:r>
        <w:rPr>
          <w:lang w:val="en-GB"/>
        </w:rPr>
        <w:t xml:space="preserve">, Wiesbaden, </w:t>
      </w:r>
      <w:proofErr w:type="spellStart"/>
      <w:r w:rsidRPr="00EE7E1F">
        <w:rPr>
          <w:lang w:val="en-GB"/>
        </w:rPr>
        <w:t>Statistische</w:t>
      </w:r>
      <w:proofErr w:type="spellEnd"/>
      <w:r w:rsidRPr="00EE7E1F">
        <w:rPr>
          <w:lang w:val="en-GB"/>
        </w:rPr>
        <w:t xml:space="preserve"> </w:t>
      </w:r>
      <w:proofErr w:type="spellStart"/>
      <w:r w:rsidRPr="00EE7E1F">
        <w:rPr>
          <w:lang w:val="en-GB"/>
        </w:rPr>
        <w:t>Bundesamt</w:t>
      </w:r>
      <w:proofErr w:type="spellEnd"/>
      <w:r w:rsidRPr="00EE7E1F">
        <w:rPr>
          <w:lang w:val="en-GB"/>
        </w:rPr>
        <w:t>.</w:t>
      </w:r>
      <w:proofErr w:type="gramEnd"/>
      <w:r>
        <w:rPr>
          <w:lang w:val="en-GB"/>
        </w:rPr>
        <w:t xml:space="preserve"> </w:t>
      </w:r>
    </w:p>
    <w:p w:rsidR="00507DD3" w:rsidRDefault="00507DD3" w:rsidP="00EE7E1F">
      <w:pPr>
        <w:rPr>
          <w:lang w:val="en-GB"/>
        </w:rPr>
      </w:pPr>
      <w:r w:rsidRPr="00507DD3">
        <w:rPr>
          <w:lang w:val="en-GB"/>
        </w:rPr>
        <w:t>[</w:t>
      </w:r>
      <w:r w:rsidR="00EE7E1F">
        <w:rPr>
          <w:lang w:val="en-GB"/>
        </w:rPr>
        <w:t>2</w:t>
      </w:r>
      <w:r w:rsidRPr="00507DD3">
        <w:rPr>
          <w:lang w:val="en-GB"/>
        </w:rPr>
        <w:t xml:space="preserve">] </w:t>
      </w:r>
      <w:proofErr w:type="spellStart"/>
      <w:r w:rsidRPr="00507DD3">
        <w:rPr>
          <w:lang w:val="en-GB"/>
        </w:rPr>
        <w:t>Hoffmeyer-Zlotnik</w:t>
      </w:r>
      <w:proofErr w:type="spellEnd"/>
      <w:r w:rsidR="008E67C3">
        <w:rPr>
          <w:lang w:val="en-GB"/>
        </w:rPr>
        <w:t>, J. (2008), H</w:t>
      </w:r>
      <w:r w:rsidRPr="00507DD3">
        <w:rPr>
          <w:lang w:val="en-GB"/>
        </w:rPr>
        <w:t xml:space="preserve">armonisation of Demographic and Socio-Economic Variables in Cross-National Survey Research, Bulletin de </w:t>
      </w:r>
      <w:proofErr w:type="spellStart"/>
      <w:r w:rsidRPr="00507DD3">
        <w:rPr>
          <w:lang w:val="en-GB"/>
        </w:rPr>
        <w:t>méthodologie</w:t>
      </w:r>
      <w:proofErr w:type="spellEnd"/>
      <w:r w:rsidRPr="00507DD3">
        <w:rPr>
          <w:lang w:val="en-GB"/>
        </w:rPr>
        <w:t xml:space="preserve"> </w:t>
      </w:r>
      <w:proofErr w:type="spellStart"/>
      <w:r w:rsidRPr="00507DD3">
        <w:rPr>
          <w:lang w:val="en-GB"/>
        </w:rPr>
        <w:t>sociologique</w:t>
      </w:r>
      <w:proofErr w:type="spellEnd"/>
      <w:r w:rsidRPr="00507DD3">
        <w:rPr>
          <w:lang w:val="en-GB"/>
        </w:rPr>
        <w:t xml:space="preserve">, </w:t>
      </w:r>
      <w:r w:rsidR="008E67C3">
        <w:rPr>
          <w:lang w:val="en-GB"/>
        </w:rPr>
        <w:t xml:space="preserve">Vol. </w:t>
      </w:r>
      <w:r w:rsidRPr="00507DD3">
        <w:rPr>
          <w:lang w:val="en-GB"/>
        </w:rPr>
        <w:t>98</w:t>
      </w:r>
      <w:r w:rsidR="008E67C3">
        <w:rPr>
          <w:lang w:val="en-GB"/>
        </w:rPr>
        <w:t xml:space="preserve">, </w:t>
      </w:r>
      <w:r w:rsidRPr="00507DD3">
        <w:rPr>
          <w:lang w:val="en-GB"/>
        </w:rPr>
        <w:t>5-24.</w:t>
      </w:r>
    </w:p>
    <w:p w:rsidR="00E13B00" w:rsidRPr="00041B9C" w:rsidRDefault="00EE7E1F" w:rsidP="00041B9C">
      <w:r w:rsidRPr="00EE7E1F">
        <w:t>[3</w:t>
      </w:r>
      <w:r w:rsidR="00041B9C" w:rsidRPr="00EE7E1F">
        <w:t>] STATISTIK AUSTRIA (2013), Standard-Dokumentation: Metainformationen (Definitionen, Erläuterungen, Methoden, Qualität) zu Mi</w:t>
      </w:r>
      <w:r w:rsidR="00041B9C" w:rsidRPr="00041B9C">
        <w:t>krozensus ab 2004</w:t>
      </w:r>
      <w:r w:rsidR="00041B9C">
        <w:t xml:space="preserve">, </w:t>
      </w:r>
      <w:r w:rsidR="00041B9C" w:rsidRPr="00041B9C">
        <w:t>Arbeitskräfte- und Wohnungserhebung.</w:t>
      </w:r>
    </w:p>
    <w:p w:rsidR="001B1D04" w:rsidRPr="00041B9C" w:rsidRDefault="00EE7E1F" w:rsidP="001B1D04">
      <w:r>
        <w:t>[4</w:t>
      </w:r>
      <w:r w:rsidR="001B1D04">
        <w:t>] STATISTIK AUSTRIA (2013), Standard-Dokumentation: Metainformationen (Definitionen, Erläuterungen, Methoden, Qualität) zur Konsumerhebung 2009/10.</w:t>
      </w:r>
    </w:p>
    <w:p w:rsidR="00477EA7" w:rsidRDefault="00EE7E1F" w:rsidP="00477EA7">
      <w:r>
        <w:t>[5</w:t>
      </w:r>
      <w:r w:rsidR="00477EA7">
        <w:t xml:space="preserve">] STATISTIK AUSTRIA (2013), Wohnen 2012: Ergebnisse der Wohnungserhebung im Mikrozensus, Jahresdurchschnitt 2012. </w:t>
      </w:r>
    </w:p>
    <w:p w:rsidR="00836731" w:rsidRPr="00EE7E1F" w:rsidRDefault="00836731" w:rsidP="0057388C">
      <w:pPr>
        <w:pStyle w:val="Untertitel"/>
      </w:pPr>
    </w:p>
    <w:p w:rsidR="001223FD" w:rsidRPr="00836731" w:rsidRDefault="001223FD" w:rsidP="0057388C">
      <w:pPr>
        <w:pStyle w:val="Untertitel"/>
        <w:rPr>
          <w:b/>
          <w:lang w:val="en-GB"/>
        </w:rPr>
      </w:pPr>
      <w:r w:rsidRPr="00836731">
        <w:rPr>
          <w:b/>
          <w:lang w:val="en-GB"/>
        </w:rPr>
        <w:t>Questionnaires of Microcensus, EU-SILC and H</w:t>
      </w:r>
      <w:r w:rsidR="00836731">
        <w:rPr>
          <w:b/>
          <w:lang w:val="en-GB"/>
        </w:rPr>
        <w:t>ousehold Budget Survey</w:t>
      </w:r>
      <w:r w:rsidR="0057388C" w:rsidRPr="00836731">
        <w:rPr>
          <w:b/>
          <w:lang w:val="en-GB"/>
        </w:rPr>
        <w:t>:</w:t>
      </w:r>
    </w:p>
    <w:p w:rsidR="001223FD" w:rsidRPr="00CE1D0A" w:rsidRDefault="00836731" w:rsidP="00836731">
      <w:pPr>
        <w:jc w:val="left"/>
      </w:pPr>
      <w:r w:rsidRPr="00836731">
        <w:t xml:space="preserve">EU-SILC 2013: </w:t>
      </w:r>
      <w:hyperlink r:id="rId11" w:history="1">
        <w:r w:rsidR="001223FD" w:rsidRPr="00CE1D0A">
          <w:rPr>
            <w:rStyle w:val="Hyperlink"/>
          </w:rPr>
          <w:t>http://www.statistik.at/web_de/static/fragebogen_eu-silc_2013_070064.pdf</w:t>
        </w:r>
      </w:hyperlink>
    </w:p>
    <w:p w:rsidR="001223FD" w:rsidRPr="00836731" w:rsidRDefault="00836731" w:rsidP="00836731">
      <w:pPr>
        <w:jc w:val="left"/>
      </w:pPr>
      <w:r>
        <w:t>EU-SILC 2014</w:t>
      </w:r>
      <w:r w:rsidRPr="00836731">
        <w:t xml:space="preserve">: </w:t>
      </w:r>
      <w:hyperlink r:id="rId12" w:history="1">
        <w:r w:rsidR="001223FD" w:rsidRPr="00CE1D0A">
          <w:rPr>
            <w:rStyle w:val="Hyperlink"/>
          </w:rPr>
          <w:t>http://www.statistik.at/web_de/static/fragebogen_eu-silc_2014_075226.pdf</w:t>
        </w:r>
      </w:hyperlink>
    </w:p>
    <w:p w:rsidR="00836731" w:rsidRDefault="00836731" w:rsidP="00836731">
      <w:pPr>
        <w:jc w:val="left"/>
        <w:rPr>
          <w:lang w:val="en-GB"/>
        </w:rPr>
      </w:pPr>
    </w:p>
    <w:p w:rsidR="00836731" w:rsidRDefault="00836731" w:rsidP="00836731">
      <w:pPr>
        <w:jc w:val="left"/>
        <w:rPr>
          <w:lang w:val="en-GB"/>
        </w:rPr>
      </w:pPr>
      <w:r>
        <w:rPr>
          <w:lang w:val="en-GB"/>
        </w:rPr>
        <w:t xml:space="preserve">Microcensus 2014: </w:t>
      </w:r>
    </w:p>
    <w:p w:rsidR="00CE1D0A" w:rsidRDefault="00836731" w:rsidP="00836731">
      <w:pPr>
        <w:jc w:val="left"/>
        <w:rPr>
          <w:lang w:val="en-GB"/>
        </w:rPr>
      </w:pPr>
      <w:hyperlink r:id="rId13" w:history="1">
        <w:r w:rsidRPr="00BD5A42">
          <w:rPr>
            <w:rStyle w:val="Hyperlink"/>
            <w:lang w:val="en-GB"/>
          </w:rPr>
          <w:t>http://www.statistik.at/web_de/static/mz-fragebogen_1.quartal_2014_074703.pdf</w:t>
        </w:r>
      </w:hyperlink>
    </w:p>
    <w:p w:rsidR="00836731" w:rsidRDefault="00836731" w:rsidP="00836731">
      <w:pPr>
        <w:jc w:val="left"/>
        <w:rPr>
          <w:lang w:val="en-GB"/>
        </w:rPr>
      </w:pPr>
    </w:p>
    <w:p w:rsidR="00836731" w:rsidRDefault="00836731" w:rsidP="00836731">
      <w:pPr>
        <w:jc w:val="left"/>
        <w:rPr>
          <w:lang w:val="en-GB"/>
        </w:rPr>
      </w:pPr>
      <w:r>
        <w:rPr>
          <w:lang w:val="en-GB"/>
        </w:rPr>
        <w:t>Household Budget Survey 2009/2010:</w:t>
      </w:r>
    </w:p>
    <w:p w:rsidR="001223FD" w:rsidRDefault="001223FD" w:rsidP="00836731">
      <w:pPr>
        <w:jc w:val="left"/>
        <w:rPr>
          <w:lang w:val="en-GB"/>
        </w:rPr>
      </w:pPr>
      <w:hyperlink r:id="rId14" w:history="1">
        <w:r w:rsidRPr="00CE1D0A">
          <w:rPr>
            <w:rStyle w:val="Hyperlink"/>
            <w:lang w:val="en-GB"/>
          </w:rPr>
          <w:t>http://www.statistik.at/web_de/static/konsumerhebung_200910_codebuch_fuer_detaillierte_mikrodaten_057566.pdf</w:t>
        </w:r>
      </w:hyperlink>
    </w:p>
    <w:p w:rsidR="00CE1D0A" w:rsidRPr="00CE1D0A" w:rsidRDefault="00CE1D0A" w:rsidP="001223FD">
      <w:pPr>
        <w:rPr>
          <w:lang w:val="en-GB"/>
        </w:rPr>
      </w:pPr>
    </w:p>
    <w:p w:rsidR="001223FD" w:rsidRPr="00CE1D0A" w:rsidRDefault="001223FD" w:rsidP="001223FD">
      <w:pPr>
        <w:rPr>
          <w:lang w:val="en-GB"/>
        </w:rPr>
      </w:pPr>
    </w:p>
    <w:sectPr w:rsidR="001223FD" w:rsidRPr="00CE1D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D7" w:rsidRDefault="001E1CD7" w:rsidP="001E1CD7">
      <w:pPr>
        <w:spacing w:before="0" w:line="240" w:lineRule="auto"/>
      </w:pPr>
      <w:r>
        <w:separator/>
      </w:r>
    </w:p>
  </w:endnote>
  <w:endnote w:type="continuationSeparator" w:id="0">
    <w:p w:rsidR="001E1CD7" w:rsidRDefault="001E1CD7" w:rsidP="001E1C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D7" w:rsidRDefault="001E1CD7" w:rsidP="001E1CD7">
      <w:pPr>
        <w:spacing w:before="0" w:line="240" w:lineRule="auto"/>
      </w:pPr>
      <w:r>
        <w:separator/>
      </w:r>
    </w:p>
  </w:footnote>
  <w:footnote w:type="continuationSeparator" w:id="0">
    <w:p w:rsidR="001E1CD7" w:rsidRDefault="001E1CD7" w:rsidP="001E1CD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B7B"/>
    <w:multiLevelType w:val="hybridMultilevel"/>
    <w:tmpl w:val="DD08207E"/>
    <w:lvl w:ilvl="0" w:tplc="A5285B52">
      <w:numFmt w:val="bullet"/>
      <w:lvlText w:val="-"/>
      <w:lvlJc w:val="left"/>
      <w:pPr>
        <w:ind w:left="420" w:hanging="360"/>
      </w:pPr>
      <w:rPr>
        <w:rFonts w:ascii="Times New Roman" w:eastAsia="Times New Roman" w:hAnsi="Times New Roman" w:cs="Times New Roman"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nsid w:val="40D57501"/>
    <w:multiLevelType w:val="hybridMultilevel"/>
    <w:tmpl w:val="1BE4694E"/>
    <w:lvl w:ilvl="0" w:tplc="503C8CE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3514280"/>
    <w:multiLevelType w:val="hybridMultilevel"/>
    <w:tmpl w:val="F73EA67E"/>
    <w:lvl w:ilvl="0" w:tplc="60B4769A">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B50145"/>
    <w:multiLevelType w:val="hybridMultilevel"/>
    <w:tmpl w:val="985EC88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DB"/>
    <w:rsid w:val="00007F1F"/>
    <w:rsid w:val="00011E6F"/>
    <w:rsid w:val="000333B2"/>
    <w:rsid w:val="00041B9C"/>
    <w:rsid w:val="0004462E"/>
    <w:rsid w:val="000447D0"/>
    <w:rsid w:val="0004690B"/>
    <w:rsid w:val="000476A5"/>
    <w:rsid w:val="0005496F"/>
    <w:rsid w:val="00065077"/>
    <w:rsid w:val="00091B2A"/>
    <w:rsid w:val="00095FF6"/>
    <w:rsid w:val="000B0224"/>
    <w:rsid w:val="000D3D75"/>
    <w:rsid w:val="000F24D8"/>
    <w:rsid w:val="000F6A75"/>
    <w:rsid w:val="001124DF"/>
    <w:rsid w:val="001223FD"/>
    <w:rsid w:val="00143634"/>
    <w:rsid w:val="001449A1"/>
    <w:rsid w:val="00154758"/>
    <w:rsid w:val="0015505A"/>
    <w:rsid w:val="0015534E"/>
    <w:rsid w:val="001705FE"/>
    <w:rsid w:val="00176F0B"/>
    <w:rsid w:val="00177F45"/>
    <w:rsid w:val="00182D97"/>
    <w:rsid w:val="001922F6"/>
    <w:rsid w:val="00194C81"/>
    <w:rsid w:val="0019721D"/>
    <w:rsid w:val="00197351"/>
    <w:rsid w:val="001B14E6"/>
    <w:rsid w:val="001B1D04"/>
    <w:rsid w:val="001B78C7"/>
    <w:rsid w:val="001C0AE7"/>
    <w:rsid w:val="001C3062"/>
    <w:rsid w:val="001C4034"/>
    <w:rsid w:val="001C7794"/>
    <w:rsid w:val="001D060D"/>
    <w:rsid w:val="001D0807"/>
    <w:rsid w:val="001D2400"/>
    <w:rsid w:val="001E1A85"/>
    <w:rsid w:val="001E1CD7"/>
    <w:rsid w:val="001E2E75"/>
    <w:rsid w:val="001E7530"/>
    <w:rsid w:val="001F2FC7"/>
    <w:rsid w:val="00201A49"/>
    <w:rsid w:val="0021240B"/>
    <w:rsid w:val="00217996"/>
    <w:rsid w:val="00230A07"/>
    <w:rsid w:val="00230DA2"/>
    <w:rsid w:val="00234834"/>
    <w:rsid w:val="00236794"/>
    <w:rsid w:val="0025258E"/>
    <w:rsid w:val="00267E07"/>
    <w:rsid w:val="00272397"/>
    <w:rsid w:val="00273D29"/>
    <w:rsid w:val="002742AF"/>
    <w:rsid w:val="002764B2"/>
    <w:rsid w:val="002B6E1B"/>
    <w:rsid w:val="002C1EAA"/>
    <w:rsid w:val="002C26DB"/>
    <w:rsid w:val="002D13D3"/>
    <w:rsid w:val="002D3E16"/>
    <w:rsid w:val="002D4A04"/>
    <w:rsid w:val="002D5CF0"/>
    <w:rsid w:val="002F0794"/>
    <w:rsid w:val="002F24CF"/>
    <w:rsid w:val="00301318"/>
    <w:rsid w:val="003072A3"/>
    <w:rsid w:val="0031650B"/>
    <w:rsid w:val="0031673F"/>
    <w:rsid w:val="00325678"/>
    <w:rsid w:val="00325E0A"/>
    <w:rsid w:val="003277DE"/>
    <w:rsid w:val="00330467"/>
    <w:rsid w:val="00331635"/>
    <w:rsid w:val="003415FA"/>
    <w:rsid w:val="00344856"/>
    <w:rsid w:val="003452E4"/>
    <w:rsid w:val="00353680"/>
    <w:rsid w:val="00355FE2"/>
    <w:rsid w:val="00367A75"/>
    <w:rsid w:val="00376D9D"/>
    <w:rsid w:val="00380267"/>
    <w:rsid w:val="00386E47"/>
    <w:rsid w:val="003902CA"/>
    <w:rsid w:val="003A2F4F"/>
    <w:rsid w:val="003B03A5"/>
    <w:rsid w:val="003C095F"/>
    <w:rsid w:val="003C4BA9"/>
    <w:rsid w:val="003D19D9"/>
    <w:rsid w:val="003E0A0A"/>
    <w:rsid w:val="003E76D8"/>
    <w:rsid w:val="00400E33"/>
    <w:rsid w:val="0040295E"/>
    <w:rsid w:val="00404A9B"/>
    <w:rsid w:val="0040706B"/>
    <w:rsid w:val="004211E9"/>
    <w:rsid w:val="004466DE"/>
    <w:rsid w:val="0045099F"/>
    <w:rsid w:val="0046312B"/>
    <w:rsid w:val="0046666D"/>
    <w:rsid w:val="004775D5"/>
    <w:rsid w:val="00477EA7"/>
    <w:rsid w:val="00480551"/>
    <w:rsid w:val="004950FC"/>
    <w:rsid w:val="004966E2"/>
    <w:rsid w:val="004A12E0"/>
    <w:rsid w:val="004A5013"/>
    <w:rsid w:val="004B526C"/>
    <w:rsid w:val="004C2B23"/>
    <w:rsid w:val="004D2F94"/>
    <w:rsid w:val="004D386F"/>
    <w:rsid w:val="004D611C"/>
    <w:rsid w:val="004F0763"/>
    <w:rsid w:val="00500F68"/>
    <w:rsid w:val="005010BE"/>
    <w:rsid w:val="00507DD3"/>
    <w:rsid w:val="00515758"/>
    <w:rsid w:val="00530C61"/>
    <w:rsid w:val="00546F31"/>
    <w:rsid w:val="00553930"/>
    <w:rsid w:val="00557218"/>
    <w:rsid w:val="00572642"/>
    <w:rsid w:val="0057388C"/>
    <w:rsid w:val="0057547A"/>
    <w:rsid w:val="005877B8"/>
    <w:rsid w:val="00594BFB"/>
    <w:rsid w:val="005A42CA"/>
    <w:rsid w:val="005B021A"/>
    <w:rsid w:val="005C34E9"/>
    <w:rsid w:val="005C4C8A"/>
    <w:rsid w:val="00600D6B"/>
    <w:rsid w:val="00623876"/>
    <w:rsid w:val="00623A7F"/>
    <w:rsid w:val="00627600"/>
    <w:rsid w:val="00631629"/>
    <w:rsid w:val="00640D72"/>
    <w:rsid w:val="00646A8F"/>
    <w:rsid w:val="006522F5"/>
    <w:rsid w:val="00652F98"/>
    <w:rsid w:val="006620B4"/>
    <w:rsid w:val="00664FE4"/>
    <w:rsid w:val="006725F3"/>
    <w:rsid w:val="00675525"/>
    <w:rsid w:val="0068681F"/>
    <w:rsid w:val="00692B4B"/>
    <w:rsid w:val="00694127"/>
    <w:rsid w:val="006A3D6C"/>
    <w:rsid w:val="006C402F"/>
    <w:rsid w:val="006C73EE"/>
    <w:rsid w:val="006D0129"/>
    <w:rsid w:val="006D4F61"/>
    <w:rsid w:val="00703F31"/>
    <w:rsid w:val="007170B5"/>
    <w:rsid w:val="007222BC"/>
    <w:rsid w:val="007241F6"/>
    <w:rsid w:val="00724864"/>
    <w:rsid w:val="007257B9"/>
    <w:rsid w:val="00753193"/>
    <w:rsid w:val="00770B24"/>
    <w:rsid w:val="00774F41"/>
    <w:rsid w:val="007908EB"/>
    <w:rsid w:val="0079369A"/>
    <w:rsid w:val="007A3402"/>
    <w:rsid w:val="007B1FD8"/>
    <w:rsid w:val="007C3B3D"/>
    <w:rsid w:val="007D5724"/>
    <w:rsid w:val="007E08E9"/>
    <w:rsid w:val="007E1539"/>
    <w:rsid w:val="007E5309"/>
    <w:rsid w:val="007F1008"/>
    <w:rsid w:val="008008F0"/>
    <w:rsid w:val="008020AC"/>
    <w:rsid w:val="008137E1"/>
    <w:rsid w:val="00817BBD"/>
    <w:rsid w:val="008203CF"/>
    <w:rsid w:val="0083347B"/>
    <w:rsid w:val="00836731"/>
    <w:rsid w:val="00846E41"/>
    <w:rsid w:val="008519CA"/>
    <w:rsid w:val="00851BAE"/>
    <w:rsid w:val="00853200"/>
    <w:rsid w:val="00876F7C"/>
    <w:rsid w:val="0089375B"/>
    <w:rsid w:val="008A380C"/>
    <w:rsid w:val="008B1190"/>
    <w:rsid w:val="008B53F4"/>
    <w:rsid w:val="008B54CE"/>
    <w:rsid w:val="008B7760"/>
    <w:rsid w:val="008C30D6"/>
    <w:rsid w:val="008C3F3C"/>
    <w:rsid w:val="008C4C05"/>
    <w:rsid w:val="008C67F8"/>
    <w:rsid w:val="008C7445"/>
    <w:rsid w:val="008E3304"/>
    <w:rsid w:val="008E67C3"/>
    <w:rsid w:val="008F78FE"/>
    <w:rsid w:val="009202DF"/>
    <w:rsid w:val="00925C1C"/>
    <w:rsid w:val="00935EB4"/>
    <w:rsid w:val="0094258B"/>
    <w:rsid w:val="00955AB3"/>
    <w:rsid w:val="00961533"/>
    <w:rsid w:val="00971DCA"/>
    <w:rsid w:val="00972B6A"/>
    <w:rsid w:val="00973024"/>
    <w:rsid w:val="00983CA9"/>
    <w:rsid w:val="00986889"/>
    <w:rsid w:val="00993854"/>
    <w:rsid w:val="00995A46"/>
    <w:rsid w:val="009A418F"/>
    <w:rsid w:val="009A5C0F"/>
    <w:rsid w:val="009B0D5F"/>
    <w:rsid w:val="009B5B91"/>
    <w:rsid w:val="009B708C"/>
    <w:rsid w:val="009C7B29"/>
    <w:rsid w:val="009D3174"/>
    <w:rsid w:val="009E5B60"/>
    <w:rsid w:val="009E7858"/>
    <w:rsid w:val="009F14EA"/>
    <w:rsid w:val="009F276C"/>
    <w:rsid w:val="009F779F"/>
    <w:rsid w:val="00A005CA"/>
    <w:rsid w:val="00A11B33"/>
    <w:rsid w:val="00A147E8"/>
    <w:rsid w:val="00A2049B"/>
    <w:rsid w:val="00A208F8"/>
    <w:rsid w:val="00A22E4D"/>
    <w:rsid w:val="00A310E7"/>
    <w:rsid w:val="00A4344C"/>
    <w:rsid w:val="00A458C8"/>
    <w:rsid w:val="00A4590B"/>
    <w:rsid w:val="00A5442E"/>
    <w:rsid w:val="00A574BF"/>
    <w:rsid w:val="00A764B0"/>
    <w:rsid w:val="00AD598C"/>
    <w:rsid w:val="00AE07BC"/>
    <w:rsid w:val="00AE434D"/>
    <w:rsid w:val="00AE54FD"/>
    <w:rsid w:val="00AE5C70"/>
    <w:rsid w:val="00AE70C3"/>
    <w:rsid w:val="00AF0F1B"/>
    <w:rsid w:val="00AF5826"/>
    <w:rsid w:val="00AF6B26"/>
    <w:rsid w:val="00B00A1E"/>
    <w:rsid w:val="00B05823"/>
    <w:rsid w:val="00B117D2"/>
    <w:rsid w:val="00B16E8D"/>
    <w:rsid w:val="00B17522"/>
    <w:rsid w:val="00B21176"/>
    <w:rsid w:val="00B261F3"/>
    <w:rsid w:val="00B32831"/>
    <w:rsid w:val="00B40C7B"/>
    <w:rsid w:val="00B52EB5"/>
    <w:rsid w:val="00B53421"/>
    <w:rsid w:val="00B53776"/>
    <w:rsid w:val="00B550DA"/>
    <w:rsid w:val="00B76361"/>
    <w:rsid w:val="00B80DC3"/>
    <w:rsid w:val="00B851B7"/>
    <w:rsid w:val="00BA29FB"/>
    <w:rsid w:val="00BA5310"/>
    <w:rsid w:val="00BA5D02"/>
    <w:rsid w:val="00BC62E3"/>
    <w:rsid w:val="00BD14DA"/>
    <w:rsid w:val="00BD7CC5"/>
    <w:rsid w:val="00BD7DA1"/>
    <w:rsid w:val="00BE699F"/>
    <w:rsid w:val="00C107B2"/>
    <w:rsid w:val="00C1456A"/>
    <w:rsid w:val="00C2523A"/>
    <w:rsid w:val="00C46020"/>
    <w:rsid w:val="00C66390"/>
    <w:rsid w:val="00C7425A"/>
    <w:rsid w:val="00C90077"/>
    <w:rsid w:val="00CB7C92"/>
    <w:rsid w:val="00CD3D50"/>
    <w:rsid w:val="00CD703E"/>
    <w:rsid w:val="00CE1D0A"/>
    <w:rsid w:val="00CE631C"/>
    <w:rsid w:val="00CF02C9"/>
    <w:rsid w:val="00D120E0"/>
    <w:rsid w:val="00D15DAD"/>
    <w:rsid w:val="00D16700"/>
    <w:rsid w:val="00D3754C"/>
    <w:rsid w:val="00D503D4"/>
    <w:rsid w:val="00D66165"/>
    <w:rsid w:val="00D76C23"/>
    <w:rsid w:val="00D83CA6"/>
    <w:rsid w:val="00D9235F"/>
    <w:rsid w:val="00D925DE"/>
    <w:rsid w:val="00DB53C7"/>
    <w:rsid w:val="00DD2974"/>
    <w:rsid w:val="00DD2D27"/>
    <w:rsid w:val="00DD3870"/>
    <w:rsid w:val="00DD4B15"/>
    <w:rsid w:val="00DE2E25"/>
    <w:rsid w:val="00E0295A"/>
    <w:rsid w:val="00E13B00"/>
    <w:rsid w:val="00E1586C"/>
    <w:rsid w:val="00E419C0"/>
    <w:rsid w:val="00E4739F"/>
    <w:rsid w:val="00E502E0"/>
    <w:rsid w:val="00E530F5"/>
    <w:rsid w:val="00E55A8B"/>
    <w:rsid w:val="00E65CD0"/>
    <w:rsid w:val="00E73BAF"/>
    <w:rsid w:val="00E74730"/>
    <w:rsid w:val="00E74731"/>
    <w:rsid w:val="00E8235C"/>
    <w:rsid w:val="00E842A8"/>
    <w:rsid w:val="00E97735"/>
    <w:rsid w:val="00EC67CD"/>
    <w:rsid w:val="00ED0C1C"/>
    <w:rsid w:val="00ED2B31"/>
    <w:rsid w:val="00EE7E1F"/>
    <w:rsid w:val="00F02B0B"/>
    <w:rsid w:val="00F033F5"/>
    <w:rsid w:val="00F03B0A"/>
    <w:rsid w:val="00F2218F"/>
    <w:rsid w:val="00F27034"/>
    <w:rsid w:val="00F30702"/>
    <w:rsid w:val="00F30D5C"/>
    <w:rsid w:val="00F438AE"/>
    <w:rsid w:val="00F47B67"/>
    <w:rsid w:val="00F47BA7"/>
    <w:rsid w:val="00F5200C"/>
    <w:rsid w:val="00F521C0"/>
    <w:rsid w:val="00F53FC1"/>
    <w:rsid w:val="00F540C8"/>
    <w:rsid w:val="00F6494A"/>
    <w:rsid w:val="00F650B6"/>
    <w:rsid w:val="00F676CC"/>
    <w:rsid w:val="00F7691C"/>
    <w:rsid w:val="00F8785E"/>
    <w:rsid w:val="00F903E4"/>
    <w:rsid w:val="00F96E60"/>
    <w:rsid w:val="00F97290"/>
    <w:rsid w:val="00FA4370"/>
    <w:rsid w:val="00FA5BDB"/>
    <w:rsid w:val="00FA6B0E"/>
    <w:rsid w:val="00FA720C"/>
    <w:rsid w:val="00FB10CC"/>
    <w:rsid w:val="00FB5F1D"/>
    <w:rsid w:val="00FC0F22"/>
    <w:rsid w:val="00FC20AF"/>
    <w:rsid w:val="00FC2AFB"/>
    <w:rsid w:val="00FC7412"/>
    <w:rsid w:val="00FC7B8F"/>
    <w:rsid w:val="00FF63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26DB"/>
    <w:pPr>
      <w:spacing w:before="240" w:line="360" w:lineRule="auto"/>
      <w:contextualSpacing/>
      <w:jc w:val="both"/>
    </w:pPr>
    <w:rPr>
      <w:sz w:val="24"/>
      <w:szCs w:val="24"/>
    </w:rPr>
  </w:style>
  <w:style w:type="paragraph" w:styleId="berschrift1">
    <w:name w:val="heading 1"/>
    <w:basedOn w:val="Standard"/>
    <w:next w:val="Standard"/>
    <w:link w:val="berschrift1Zchn"/>
    <w:qFormat/>
    <w:rsid w:val="002C26DB"/>
    <w:pPr>
      <w:keepNext/>
      <w:keepLines/>
      <w:numPr>
        <w:numId w:val="1"/>
      </w:numPr>
      <w:ind w:left="0" w:firstLine="0"/>
      <w:jc w:val="lef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Funotentext"/>
    <w:rsid w:val="006A3D6C"/>
    <w:pPr>
      <w:spacing w:before="120"/>
    </w:pPr>
    <w:rPr>
      <w:sz w:val="18"/>
      <w:lang w:val="en-GB"/>
    </w:rPr>
  </w:style>
  <w:style w:type="paragraph" w:styleId="Funotentext">
    <w:name w:val="footnote text"/>
    <w:basedOn w:val="Standard"/>
    <w:semiHidden/>
    <w:rsid w:val="006A3D6C"/>
    <w:rPr>
      <w:sz w:val="20"/>
      <w:szCs w:val="20"/>
    </w:rPr>
  </w:style>
  <w:style w:type="paragraph" w:customStyle="1" w:styleId="Funote">
    <w:name w:val="Fußnote"/>
    <w:basedOn w:val="Funotentext"/>
    <w:autoRedefine/>
    <w:rsid w:val="006A3D6C"/>
    <w:pPr>
      <w:spacing w:before="120"/>
    </w:pPr>
    <w:rPr>
      <w:sz w:val="16"/>
      <w:lang w:val="en-GB"/>
    </w:rPr>
  </w:style>
  <w:style w:type="paragraph" w:styleId="Titel">
    <w:name w:val="Title"/>
    <w:basedOn w:val="Standard"/>
    <w:next w:val="Standard"/>
    <w:link w:val="TitelZchn"/>
    <w:qFormat/>
    <w:rsid w:val="002C26DB"/>
    <w:pPr>
      <w:framePr w:wrap="notBeside" w:vAnchor="text" w:hAnchor="text" w:y="1"/>
      <w:jc w:val="center"/>
    </w:pPr>
    <w:rPr>
      <w:rFonts w:eastAsiaTheme="majorEastAsia" w:cstheme="majorBidi"/>
      <w:spacing w:val="5"/>
      <w:kern w:val="28"/>
      <w:sz w:val="48"/>
      <w:szCs w:val="52"/>
    </w:rPr>
  </w:style>
  <w:style w:type="character" w:customStyle="1" w:styleId="TitelZchn">
    <w:name w:val="Titel Zchn"/>
    <w:basedOn w:val="Absatz-Standardschriftart"/>
    <w:link w:val="Titel"/>
    <w:rsid w:val="002C26DB"/>
    <w:rPr>
      <w:rFonts w:eastAsiaTheme="majorEastAsia" w:cstheme="majorBidi"/>
      <w:spacing w:val="5"/>
      <w:kern w:val="28"/>
      <w:sz w:val="48"/>
      <w:szCs w:val="52"/>
    </w:rPr>
  </w:style>
  <w:style w:type="character" w:customStyle="1" w:styleId="berschrift1Zchn">
    <w:name w:val="Überschrift 1 Zchn"/>
    <w:basedOn w:val="Absatz-Standardschriftart"/>
    <w:link w:val="berschrift1"/>
    <w:rsid w:val="002C26DB"/>
    <w:rPr>
      <w:rFonts w:eastAsiaTheme="majorEastAsia" w:cstheme="majorBidi"/>
      <w:b/>
      <w:bCs/>
      <w:sz w:val="24"/>
      <w:szCs w:val="28"/>
    </w:rPr>
  </w:style>
  <w:style w:type="paragraph" w:styleId="Zitat">
    <w:name w:val="Quote"/>
    <w:aliases w:val="Abstract"/>
    <w:basedOn w:val="Standard"/>
    <w:next w:val="Standard"/>
    <w:link w:val="ZitatZchn"/>
    <w:uiPriority w:val="29"/>
    <w:qFormat/>
    <w:rsid w:val="002C26DB"/>
    <w:pPr>
      <w:ind w:left="794" w:right="794"/>
    </w:pPr>
    <w:rPr>
      <w:iCs/>
      <w:color w:val="000000" w:themeColor="text1"/>
      <w:sz w:val="20"/>
    </w:rPr>
  </w:style>
  <w:style w:type="character" w:customStyle="1" w:styleId="ZitatZchn">
    <w:name w:val="Zitat Zchn"/>
    <w:aliases w:val="Abstract Zchn"/>
    <w:basedOn w:val="Absatz-Standardschriftart"/>
    <w:link w:val="Zitat"/>
    <w:uiPriority w:val="29"/>
    <w:rsid w:val="002C26DB"/>
    <w:rPr>
      <w:iCs/>
      <w:color w:val="000000" w:themeColor="text1"/>
      <w:szCs w:val="24"/>
    </w:rPr>
  </w:style>
  <w:style w:type="character" w:styleId="SchwacheHervorhebung">
    <w:name w:val="Subtle Emphasis"/>
    <w:basedOn w:val="Absatz-Standardschriftart"/>
    <w:uiPriority w:val="19"/>
    <w:qFormat/>
    <w:rsid w:val="002C26DB"/>
    <w:rPr>
      <w:i/>
      <w:iCs/>
      <w:color w:val="808080" w:themeColor="text1" w:themeTint="7F"/>
    </w:rPr>
  </w:style>
  <w:style w:type="paragraph" w:styleId="KeinLeerraum">
    <w:name w:val="No Spacing"/>
    <w:uiPriority w:val="1"/>
    <w:qFormat/>
    <w:rsid w:val="004D2F94"/>
    <w:pPr>
      <w:contextualSpacing/>
      <w:jc w:val="both"/>
    </w:pPr>
    <w:rPr>
      <w:sz w:val="24"/>
      <w:szCs w:val="24"/>
    </w:rPr>
  </w:style>
  <w:style w:type="character" w:styleId="Hervorhebung">
    <w:name w:val="Emphasis"/>
    <w:basedOn w:val="Absatz-Standardschriftart"/>
    <w:qFormat/>
    <w:rsid w:val="004D2F94"/>
    <w:rPr>
      <w:i/>
      <w:iCs/>
    </w:rPr>
  </w:style>
  <w:style w:type="character" w:styleId="Fett">
    <w:name w:val="Strong"/>
    <w:basedOn w:val="Absatz-Standardschriftart"/>
    <w:qFormat/>
    <w:rsid w:val="004D2F94"/>
    <w:rPr>
      <w:b/>
      <w:bCs/>
    </w:rPr>
  </w:style>
  <w:style w:type="paragraph" w:styleId="Listenabsatz">
    <w:name w:val="List Paragraph"/>
    <w:basedOn w:val="Standard"/>
    <w:uiPriority w:val="34"/>
    <w:qFormat/>
    <w:rsid w:val="0068681F"/>
    <w:pPr>
      <w:ind w:left="720"/>
    </w:pPr>
  </w:style>
  <w:style w:type="paragraph" w:styleId="Sprechblasentext">
    <w:name w:val="Balloon Text"/>
    <w:basedOn w:val="Standard"/>
    <w:link w:val="SprechblasentextZchn"/>
    <w:rsid w:val="000F6A7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F6A75"/>
    <w:rPr>
      <w:rFonts w:ascii="Tahoma" w:hAnsi="Tahoma" w:cs="Tahoma"/>
      <w:sz w:val="16"/>
      <w:szCs w:val="16"/>
    </w:rPr>
  </w:style>
  <w:style w:type="table" w:styleId="Tabellenraster">
    <w:name w:val="Table Grid"/>
    <w:basedOn w:val="NormaleTabelle"/>
    <w:rsid w:val="00FC7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basedOn w:val="Absatz-Standardschriftart"/>
    <w:rsid w:val="001E1CD7"/>
    <w:rPr>
      <w:vertAlign w:val="superscript"/>
    </w:rPr>
  </w:style>
  <w:style w:type="character" w:styleId="Kommentarzeichen">
    <w:name w:val="annotation reference"/>
    <w:basedOn w:val="Absatz-Standardschriftart"/>
    <w:rsid w:val="00177F45"/>
    <w:rPr>
      <w:sz w:val="16"/>
      <w:szCs w:val="16"/>
    </w:rPr>
  </w:style>
  <w:style w:type="paragraph" w:styleId="Kommentartext">
    <w:name w:val="annotation text"/>
    <w:basedOn w:val="Standard"/>
    <w:link w:val="KommentartextZchn"/>
    <w:rsid w:val="00177F45"/>
    <w:pPr>
      <w:spacing w:line="240" w:lineRule="auto"/>
    </w:pPr>
    <w:rPr>
      <w:sz w:val="20"/>
      <w:szCs w:val="20"/>
    </w:rPr>
  </w:style>
  <w:style w:type="character" w:customStyle="1" w:styleId="KommentartextZchn">
    <w:name w:val="Kommentartext Zchn"/>
    <w:basedOn w:val="Absatz-Standardschriftart"/>
    <w:link w:val="Kommentartext"/>
    <w:rsid w:val="00177F45"/>
  </w:style>
  <w:style w:type="paragraph" w:styleId="Kommentarthema">
    <w:name w:val="annotation subject"/>
    <w:basedOn w:val="Kommentartext"/>
    <w:next w:val="Kommentartext"/>
    <w:link w:val="KommentarthemaZchn"/>
    <w:rsid w:val="00177F45"/>
    <w:rPr>
      <w:b/>
      <w:bCs/>
    </w:rPr>
  </w:style>
  <w:style w:type="character" w:customStyle="1" w:styleId="KommentarthemaZchn">
    <w:name w:val="Kommentarthema Zchn"/>
    <w:basedOn w:val="KommentartextZchn"/>
    <w:link w:val="Kommentarthema"/>
    <w:rsid w:val="00177F45"/>
    <w:rPr>
      <w:b/>
      <w:bCs/>
    </w:rPr>
  </w:style>
  <w:style w:type="character" w:styleId="Hyperlink">
    <w:name w:val="Hyperlink"/>
    <w:basedOn w:val="Absatz-Standardschriftart"/>
    <w:rsid w:val="001223FD"/>
    <w:rPr>
      <w:color w:val="0000FF" w:themeColor="hyperlink"/>
      <w:u w:val="single"/>
    </w:rPr>
  </w:style>
  <w:style w:type="character" w:styleId="BesuchterHyperlink">
    <w:name w:val="FollowedHyperlink"/>
    <w:basedOn w:val="Absatz-Standardschriftart"/>
    <w:rsid w:val="001223FD"/>
    <w:rPr>
      <w:color w:val="800080" w:themeColor="followedHyperlink"/>
      <w:u w:val="single"/>
    </w:rPr>
  </w:style>
  <w:style w:type="paragraph" w:styleId="Untertitel">
    <w:name w:val="Subtitle"/>
    <w:basedOn w:val="Standard"/>
    <w:next w:val="Standard"/>
    <w:link w:val="UntertitelZchn"/>
    <w:qFormat/>
    <w:rsid w:val="0057388C"/>
    <w:pPr>
      <w:numPr>
        <w:ilvl w:val="1"/>
      </w:numPr>
    </w:pPr>
    <w:rPr>
      <w:rFonts w:eastAsiaTheme="majorEastAsia" w:cstheme="majorBidi"/>
      <w:iCs/>
    </w:rPr>
  </w:style>
  <w:style w:type="character" w:customStyle="1" w:styleId="UntertitelZchn">
    <w:name w:val="Untertitel Zchn"/>
    <w:basedOn w:val="Absatz-Standardschriftart"/>
    <w:link w:val="Untertitel"/>
    <w:rsid w:val="0057388C"/>
    <w:rPr>
      <w:rFonts w:eastAsiaTheme="majorEastAsia" w:cstheme="majorBid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26DB"/>
    <w:pPr>
      <w:spacing w:before="240" w:line="360" w:lineRule="auto"/>
      <w:contextualSpacing/>
      <w:jc w:val="both"/>
    </w:pPr>
    <w:rPr>
      <w:sz w:val="24"/>
      <w:szCs w:val="24"/>
    </w:rPr>
  </w:style>
  <w:style w:type="paragraph" w:styleId="berschrift1">
    <w:name w:val="heading 1"/>
    <w:basedOn w:val="Standard"/>
    <w:next w:val="Standard"/>
    <w:link w:val="berschrift1Zchn"/>
    <w:qFormat/>
    <w:rsid w:val="002C26DB"/>
    <w:pPr>
      <w:keepNext/>
      <w:keepLines/>
      <w:numPr>
        <w:numId w:val="1"/>
      </w:numPr>
      <w:ind w:left="0" w:firstLine="0"/>
      <w:jc w:val="lef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Funotentext"/>
    <w:rsid w:val="006A3D6C"/>
    <w:pPr>
      <w:spacing w:before="120"/>
    </w:pPr>
    <w:rPr>
      <w:sz w:val="18"/>
      <w:lang w:val="en-GB"/>
    </w:rPr>
  </w:style>
  <w:style w:type="paragraph" w:styleId="Funotentext">
    <w:name w:val="footnote text"/>
    <w:basedOn w:val="Standard"/>
    <w:semiHidden/>
    <w:rsid w:val="006A3D6C"/>
    <w:rPr>
      <w:sz w:val="20"/>
      <w:szCs w:val="20"/>
    </w:rPr>
  </w:style>
  <w:style w:type="paragraph" w:customStyle="1" w:styleId="Funote">
    <w:name w:val="Fußnote"/>
    <w:basedOn w:val="Funotentext"/>
    <w:autoRedefine/>
    <w:rsid w:val="006A3D6C"/>
    <w:pPr>
      <w:spacing w:before="120"/>
    </w:pPr>
    <w:rPr>
      <w:sz w:val="16"/>
      <w:lang w:val="en-GB"/>
    </w:rPr>
  </w:style>
  <w:style w:type="paragraph" w:styleId="Titel">
    <w:name w:val="Title"/>
    <w:basedOn w:val="Standard"/>
    <w:next w:val="Standard"/>
    <w:link w:val="TitelZchn"/>
    <w:qFormat/>
    <w:rsid w:val="002C26DB"/>
    <w:pPr>
      <w:framePr w:wrap="notBeside" w:vAnchor="text" w:hAnchor="text" w:y="1"/>
      <w:jc w:val="center"/>
    </w:pPr>
    <w:rPr>
      <w:rFonts w:eastAsiaTheme="majorEastAsia" w:cstheme="majorBidi"/>
      <w:spacing w:val="5"/>
      <w:kern w:val="28"/>
      <w:sz w:val="48"/>
      <w:szCs w:val="52"/>
    </w:rPr>
  </w:style>
  <w:style w:type="character" w:customStyle="1" w:styleId="TitelZchn">
    <w:name w:val="Titel Zchn"/>
    <w:basedOn w:val="Absatz-Standardschriftart"/>
    <w:link w:val="Titel"/>
    <w:rsid w:val="002C26DB"/>
    <w:rPr>
      <w:rFonts w:eastAsiaTheme="majorEastAsia" w:cstheme="majorBidi"/>
      <w:spacing w:val="5"/>
      <w:kern w:val="28"/>
      <w:sz w:val="48"/>
      <w:szCs w:val="52"/>
    </w:rPr>
  </w:style>
  <w:style w:type="character" w:customStyle="1" w:styleId="berschrift1Zchn">
    <w:name w:val="Überschrift 1 Zchn"/>
    <w:basedOn w:val="Absatz-Standardschriftart"/>
    <w:link w:val="berschrift1"/>
    <w:rsid w:val="002C26DB"/>
    <w:rPr>
      <w:rFonts w:eastAsiaTheme="majorEastAsia" w:cstheme="majorBidi"/>
      <w:b/>
      <w:bCs/>
      <w:sz w:val="24"/>
      <w:szCs w:val="28"/>
    </w:rPr>
  </w:style>
  <w:style w:type="paragraph" w:styleId="Zitat">
    <w:name w:val="Quote"/>
    <w:aliases w:val="Abstract"/>
    <w:basedOn w:val="Standard"/>
    <w:next w:val="Standard"/>
    <w:link w:val="ZitatZchn"/>
    <w:uiPriority w:val="29"/>
    <w:qFormat/>
    <w:rsid w:val="002C26DB"/>
    <w:pPr>
      <w:ind w:left="794" w:right="794"/>
    </w:pPr>
    <w:rPr>
      <w:iCs/>
      <w:color w:val="000000" w:themeColor="text1"/>
      <w:sz w:val="20"/>
    </w:rPr>
  </w:style>
  <w:style w:type="character" w:customStyle="1" w:styleId="ZitatZchn">
    <w:name w:val="Zitat Zchn"/>
    <w:aliases w:val="Abstract Zchn"/>
    <w:basedOn w:val="Absatz-Standardschriftart"/>
    <w:link w:val="Zitat"/>
    <w:uiPriority w:val="29"/>
    <w:rsid w:val="002C26DB"/>
    <w:rPr>
      <w:iCs/>
      <w:color w:val="000000" w:themeColor="text1"/>
      <w:szCs w:val="24"/>
    </w:rPr>
  </w:style>
  <w:style w:type="character" w:styleId="SchwacheHervorhebung">
    <w:name w:val="Subtle Emphasis"/>
    <w:basedOn w:val="Absatz-Standardschriftart"/>
    <w:uiPriority w:val="19"/>
    <w:qFormat/>
    <w:rsid w:val="002C26DB"/>
    <w:rPr>
      <w:i/>
      <w:iCs/>
      <w:color w:val="808080" w:themeColor="text1" w:themeTint="7F"/>
    </w:rPr>
  </w:style>
  <w:style w:type="paragraph" w:styleId="KeinLeerraum">
    <w:name w:val="No Spacing"/>
    <w:uiPriority w:val="1"/>
    <w:qFormat/>
    <w:rsid w:val="004D2F94"/>
    <w:pPr>
      <w:contextualSpacing/>
      <w:jc w:val="both"/>
    </w:pPr>
    <w:rPr>
      <w:sz w:val="24"/>
      <w:szCs w:val="24"/>
    </w:rPr>
  </w:style>
  <w:style w:type="character" w:styleId="Hervorhebung">
    <w:name w:val="Emphasis"/>
    <w:basedOn w:val="Absatz-Standardschriftart"/>
    <w:qFormat/>
    <w:rsid w:val="004D2F94"/>
    <w:rPr>
      <w:i/>
      <w:iCs/>
    </w:rPr>
  </w:style>
  <w:style w:type="character" w:styleId="Fett">
    <w:name w:val="Strong"/>
    <w:basedOn w:val="Absatz-Standardschriftart"/>
    <w:qFormat/>
    <w:rsid w:val="004D2F94"/>
    <w:rPr>
      <w:b/>
      <w:bCs/>
    </w:rPr>
  </w:style>
  <w:style w:type="paragraph" w:styleId="Listenabsatz">
    <w:name w:val="List Paragraph"/>
    <w:basedOn w:val="Standard"/>
    <w:uiPriority w:val="34"/>
    <w:qFormat/>
    <w:rsid w:val="0068681F"/>
    <w:pPr>
      <w:ind w:left="720"/>
    </w:pPr>
  </w:style>
  <w:style w:type="paragraph" w:styleId="Sprechblasentext">
    <w:name w:val="Balloon Text"/>
    <w:basedOn w:val="Standard"/>
    <w:link w:val="SprechblasentextZchn"/>
    <w:rsid w:val="000F6A7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F6A75"/>
    <w:rPr>
      <w:rFonts w:ascii="Tahoma" w:hAnsi="Tahoma" w:cs="Tahoma"/>
      <w:sz w:val="16"/>
      <w:szCs w:val="16"/>
    </w:rPr>
  </w:style>
  <w:style w:type="table" w:styleId="Tabellenraster">
    <w:name w:val="Table Grid"/>
    <w:basedOn w:val="NormaleTabelle"/>
    <w:rsid w:val="00FC7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basedOn w:val="Absatz-Standardschriftart"/>
    <w:rsid w:val="001E1CD7"/>
    <w:rPr>
      <w:vertAlign w:val="superscript"/>
    </w:rPr>
  </w:style>
  <w:style w:type="character" w:styleId="Kommentarzeichen">
    <w:name w:val="annotation reference"/>
    <w:basedOn w:val="Absatz-Standardschriftart"/>
    <w:rsid w:val="00177F45"/>
    <w:rPr>
      <w:sz w:val="16"/>
      <w:szCs w:val="16"/>
    </w:rPr>
  </w:style>
  <w:style w:type="paragraph" w:styleId="Kommentartext">
    <w:name w:val="annotation text"/>
    <w:basedOn w:val="Standard"/>
    <w:link w:val="KommentartextZchn"/>
    <w:rsid w:val="00177F45"/>
    <w:pPr>
      <w:spacing w:line="240" w:lineRule="auto"/>
    </w:pPr>
    <w:rPr>
      <w:sz w:val="20"/>
      <w:szCs w:val="20"/>
    </w:rPr>
  </w:style>
  <w:style w:type="character" w:customStyle="1" w:styleId="KommentartextZchn">
    <w:name w:val="Kommentartext Zchn"/>
    <w:basedOn w:val="Absatz-Standardschriftart"/>
    <w:link w:val="Kommentartext"/>
    <w:rsid w:val="00177F45"/>
  </w:style>
  <w:style w:type="paragraph" w:styleId="Kommentarthema">
    <w:name w:val="annotation subject"/>
    <w:basedOn w:val="Kommentartext"/>
    <w:next w:val="Kommentartext"/>
    <w:link w:val="KommentarthemaZchn"/>
    <w:rsid w:val="00177F45"/>
    <w:rPr>
      <w:b/>
      <w:bCs/>
    </w:rPr>
  </w:style>
  <w:style w:type="character" w:customStyle="1" w:styleId="KommentarthemaZchn">
    <w:name w:val="Kommentarthema Zchn"/>
    <w:basedOn w:val="KommentartextZchn"/>
    <w:link w:val="Kommentarthema"/>
    <w:rsid w:val="00177F45"/>
    <w:rPr>
      <w:b/>
      <w:bCs/>
    </w:rPr>
  </w:style>
  <w:style w:type="character" w:styleId="Hyperlink">
    <w:name w:val="Hyperlink"/>
    <w:basedOn w:val="Absatz-Standardschriftart"/>
    <w:rsid w:val="001223FD"/>
    <w:rPr>
      <w:color w:val="0000FF" w:themeColor="hyperlink"/>
      <w:u w:val="single"/>
    </w:rPr>
  </w:style>
  <w:style w:type="character" w:styleId="BesuchterHyperlink">
    <w:name w:val="FollowedHyperlink"/>
    <w:basedOn w:val="Absatz-Standardschriftart"/>
    <w:rsid w:val="001223FD"/>
    <w:rPr>
      <w:color w:val="800080" w:themeColor="followedHyperlink"/>
      <w:u w:val="single"/>
    </w:rPr>
  </w:style>
  <w:style w:type="paragraph" w:styleId="Untertitel">
    <w:name w:val="Subtitle"/>
    <w:basedOn w:val="Standard"/>
    <w:next w:val="Standard"/>
    <w:link w:val="UntertitelZchn"/>
    <w:qFormat/>
    <w:rsid w:val="0057388C"/>
    <w:pPr>
      <w:numPr>
        <w:ilvl w:val="1"/>
      </w:numPr>
    </w:pPr>
    <w:rPr>
      <w:rFonts w:eastAsiaTheme="majorEastAsia" w:cstheme="majorBidi"/>
      <w:iCs/>
    </w:rPr>
  </w:style>
  <w:style w:type="character" w:customStyle="1" w:styleId="UntertitelZchn">
    <w:name w:val="Untertitel Zchn"/>
    <w:basedOn w:val="Absatz-Standardschriftart"/>
    <w:link w:val="Untertitel"/>
    <w:rsid w:val="0057388C"/>
    <w:rPr>
      <w:rFonts w:eastAsiaTheme="majorEastAsia"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7723">
      <w:bodyDiv w:val="1"/>
      <w:marLeft w:val="0"/>
      <w:marRight w:val="0"/>
      <w:marTop w:val="0"/>
      <w:marBottom w:val="0"/>
      <w:divBdr>
        <w:top w:val="none" w:sz="0" w:space="0" w:color="auto"/>
        <w:left w:val="none" w:sz="0" w:space="0" w:color="auto"/>
        <w:bottom w:val="none" w:sz="0" w:space="0" w:color="auto"/>
        <w:right w:val="none" w:sz="0" w:space="0" w:color="auto"/>
      </w:divBdr>
      <w:divsChild>
        <w:div w:id="422384615">
          <w:marLeft w:val="0"/>
          <w:marRight w:val="0"/>
          <w:marTop w:val="0"/>
          <w:marBottom w:val="0"/>
          <w:divBdr>
            <w:top w:val="none" w:sz="0" w:space="0" w:color="auto"/>
            <w:left w:val="none" w:sz="0" w:space="0" w:color="auto"/>
            <w:bottom w:val="none" w:sz="0" w:space="0" w:color="auto"/>
            <w:right w:val="none" w:sz="0" w:space="0" w:color="auto"/>
          </w:divBdr>
        </w:div>
        <w:div w:id="86777202">
          <w:marLeft w:val="0"/>
          <w:marRight w:val="0"/>
          <w:marTop w:val="0"/>
          <w:marBottom w:val="0"/>
          <w:divBdr>
            <w:top w:val="none" w:sz="0" w:space="0" w:color="auto"/>
            <w:left w:val="none" w:sz="0" w:space="0" w:color="auto"/>
            <w:bottom w:val="none" w:sz="0" w:space="0" w:color="auto"/>
            <w:right w:val="none" w:sz="0" w:space="0" w:color="auto"/>
          </w:divBdr>
        </w:div>
        <w:div w:id="994646401">
          <w:marLeft w:val="0"/>
          <w:marRight w:val="0"/>
          <w:marTop w:val="0"/>
          <w:marBottom w:val="0"/>
          <w:divBdr>
            <w:top w:val="none" w:sz="0" w:space="0" w:color="auto"/>
            <w:left w:val="none" w:sz="0" w:space="0" w:color="auto"/>
            <w:bottom w:val="none" w:sz="0" w:space="0" w:color="auto"/>
            <w:right w:val="none" w:sz="0" w:space="0" w:color="auto"/>
          </w:divBdr>
        </w:div>
        <w:div w:id="22825655">
          <w:marLeft w:val="0"/>
          <w:marRight w:val="0"/>
          <w:marTop w:val="0"/>
          <w:marBottom w:val="0"/>
          <w:divBdr>
            <w:top w:val="none" w:sz="0" w:space="0" w:color="auto"/>
            <w:left w:val="none" w:sz="0" w:space="0" w:color="auto"/>
            <w:bottom w:val="none" w:sz="0" w:space="0" w:color="auto"/>
            <w:right w:val="none" w:sz="0" w:space="0" w:color="auto"/>
          </w:divBdr>
        </w:div>
        <w:div w:id="1514876787">
          <w:marLeft w:val="0"/>
          <w:marRight w:val="0"/>
          <w:marTop w:val="0"/>
          <w:marBottom w:val="0"/>
          <w:divBdr>
            <w:top w:val="none" w:sz="0" w:space="0" w:color="auto"/>
            <w:left w:val="none" w:sz="0" w:space="0" w:color="auto"/>
            <w:bottom w:val="none" w:sz="0" w:space="0" w:color="auto"/>
            <w:right w:val="none" w:sz="0" w:space="0" w:color="auto"/>
          </w:divBdr>
        </w:div>
        <w:div w:id="1514107540">
          <w:marLeft w:val="0"/>
          <w:marRight w:val="0"/>
          <w:marTop w:val="0"/>
          <w:marBottom w:val="0"/>
          <w:divBdr>
            <w:top w:val="none" w:sz="0" w:space="0" w:color="auto"/>
            <w:left w:val="none" w:sz="0" w:space="0" w:color="auto"/>
            <w:bottom w:val="none" w:sz="0" w:space="0" w:color="auto"/>
            <w:right w:val="none" w:sz="0" w:space="0" w:color="auto"/>
          </w:divBdr>
        </w:div>
        <w:div w:id="1409038765">
          <w:marLeft w:val="0"/>
          <w:marRight w:val="0"/>
          <w:marTop w:val="0"/>
          <w:marBottom w:val="0"/>
          <w:divBdr>
            <w:top w:val="none" w:sz="0" w:space="0" w:color="auto"/>
            <w:left w:val="none" w:sz="0" w:space="0" w:color="auto"/>
            <w:bottom w:val="none" w:sz="0" w:space="0" w:color="auto"/>
            <w:right w:val="none" w:sz="0" w:space="0" w:color="auto"/>
          </w:divBdr>
        </w:div>
        <w:div w:id="1162351513">
          <w:marLeft w:val="0"/>
          <w:marRight w:val="0"/>
          <w:marTop w:val="0"/>
          <w:marBottom w:val="0"/>
          <w:divBdr>
            <w:top w:val="none" w:sz="0" w:space="0" w:color="auto"/>
            <w:left w:val="none" w:sz="0" w:space="0" w:color="auto"/>
            <w:bottom w:val="none" w:sz="0" w:space="0" w:color="auto"/>
            <w:right w:val="none" w:sz="0" w:space="0" w:color="auto"/>
          </w:divBdr>
        </w:div>
        <w:div w:id="1505783232">
          <w:marLeft w:val="0"/>
          <w:marRight w:val="0"/>
          <w:marTop w:val="0"/>
          <w:marBottom w:val="0"/>
          <w:divBdr>
            <w:top w:val="none" w:sz="0" w:space="0" w:color="auto"/>
            <w:left w:val="none" w:sz="0" w:space="0" w:color="auto"/>
            <w:bottom w:val="none" w:sz="0" w:space="0" w:color="auto"/>
            <w:right w:val="none" w:sz="0" w:space="0" w:color="auto"/>
          </w:divBdr>
        </w:div>
        <w:div w:id="2041123079">
          <w:marLeft w:val="0"/>
          <w:marRight w:val="0"/>
          <w:marTop w:val="0"/>
          <w:marBottom w:val="0"/>
          <w:divBdr>
            <w:top w:val="none" w:sz="0" w:space="0" w:color="auto"/>
            <w:left w:val="none" w:sz="0" w:space="0" w:color="auto"/>
            <w:bottom w:val="none" w:sz="0" w:space="0" w:color="auto"/>
            <w:right w:val="none" w:sz="0" w:space="0" w:color="auto"/>
          </w:divBdr>
        </w:div>
      </w:divsChild>
    </w:div>
    <w:div w:id="1464538749">
      <w:bodyDiv w:val="1"/>
      <w:marLeft w:val="0"/>
      <w:marRight w:val="0"/>
      <w:marTop w:val="0"/>
      <w:marBottom w:val="0"/>
      <w:divBdr>
        <w:top w:val="none" w:sz="0" w:space="0" w:color="auto"/>
        <w:left w:val="none" w:sz="0" w:space="0" w:color="auto"/>
        <w:bottom w:val="none" w:sz="0" w:space="0" w:color="auto"/>
        <w:right w:val="none" w:sz="0" w:space="0" w:color="auto"/>
      </w:divBdr>
      <w:divsChild>
        <w:div w:id="55859482">
          <w:marLeft w:val="0"/>
          <w:marRight w:val="0"/>
          <w:marTop w:val="0"/>
          <w:marBottom w:val="0"/>
          <w:divBdr>
            <w:top w:val="none" w:sz="0" w:space="0" w:color="auto"/>
            <w:left w:val="none" w:sz="0" w:space="0" w:color="auto"/>
            <w:bottom w:val="none" w:sz="0" w:space="0" w:color="auto"/>
            <w:right w:val="none" w:sz="0" w:space="0" w:color="auto"/>
          </w:divBdr>
        </w:div>
        <w:div w:id="1344550187">
          <w:marLeft w:val="0"/>
          <w:marRight w:val="0"/>
          <w:marTop w:val="0"/>
          <w:marBottom w:val="0"/>
          <w:divBdr>
            <w:top w:val="none" w:sz="0" w:space="0" w:color="auto"/>
            <w:left w:val="none" w:sz="0" w:space="0" w:color="auto"/>
            <w:bottom w:val="none" w:sz="0" w:space="0" w:color="auto"/>
            <w:right w:val="none" w:sz="0" w:space="0" w:color="auto"/>
          </w:divBdr>
        </w:div>
      </w:divsChild>
    </w:div>
    <w:div w:id="1959795856">
      <w:bodyDiv w:val="1"/>
      <w:marLeft w:val="0"/>
      <w:marRight w:val="0"/>
      <w:marTop w:val="0"/>
      <w:marBottom w:val="0"/>
      <w:divBdr>
        <w:top w:val="none" w:sz="0" w:space="0" w:color="auto"/>
        <w:left w:val="none" w:sz="0" w:space="0" w:color="auto"/>
        <w:bottom w:val="none" w:sz="0" w:space="0" w:color="auto"/>
        <w:right w:val="none" w:sz="0" w:space="0" w:color="auto"/>
      </w:divBdr>
      <w:divsChild>
        <w:div w:id="282152343">
          <w:marLeft w:val="0"/>
          <w:marRight w:val="0"/>
          <w:marTop w:val="0"/>
          <w:marBottom w:val="0"/>
          <w:divBdr>
            <w:top w:val="none" w:sz="0" w:space="0" w:color="auto"/>
            <w:left w:val="none" w:sz="0" w:space="0" w:color="auto"/>
            <w:bottom w:val="none" w:sz="0" w:space="0" w:color="auto"/>
            <w:right w:val="none" w:sz="0" w:space="0" w:color="auto"/>
          </w:divBdr>
        </w:div>
        <w:div w:id="1029139792">
          <w:marLeft w:val="0"/>
          <w:marRight w:val="0"/>
          <w:marTop w:val="0"/>
          <w:marBottom w:val="0"/>
          <w:divBdr>
            <w:top w:val="none" w:sz="0" w:space="0" w:color="auto"/>
            <w:left w:val="none" w:sz="0" w:space="0" w:color="auto"/>
            <w:bottom w:val="none" w:sz="0" w:space="0" w:color="auto"/>
            <w:right w:val="none" w:sz="0" w:space="0" w:color="auto"/>
          </w:divBdr>
        </w:div>
        <w:div w:id="1235626077">
          <w:marLeft w:val="0"/>
          <w:marRight w:val="0"/>
          <w:marTop w:val="0"/>
          <w:marBottom w:val="0"/>
          <w:divBdr>
            <w:top w:val="none" w:sz="0" w:space="0" w:color="auto"/>
            <w:left w:val="none" w:sz="0" w:space="0" w:color="auto"/>
            <w:bottom w:val="none" w:sz="0" w:space="0" w:color="auto"/>
            <w:right w:val="none" w:sz="0" w:space="0" w:color="auto"/>
          </w:divBdr>
        </w:div>
        <w:div w:id="2116751850">
          <w:marLeft w:val="0"/>
          <w:marRight w:val="0"/>
          <w:marTop w:val="0"/>
          <w:marBottom w:val="0"/>
          <w:divBdr>
            <w:top w:val="none" w:sz="0" w:space="0" w:color="auto"/>
            <w:left w:val="none" w:sz="0" w:space="0" w:color="auto"/>
            <w:bottom w:val="none" w:sz="0" w:space="0" w:color="auto"/>
            <w:right w:val="none" w:sz="0" w:space="0" w:color="auto"/>
          </w:divBdr>
        </w:div>
        <w:div w:id="1097560901">
          <w:marLeft w:val="0"/>
          <w:marRight w:val="0"/>
          <w:marTop w:val="0"/>
          <w:marBottom w:val="0"/>
          <w:divBdr>
            <w:top w:val="none" w:sz="0" w:space="0" w:color="auto"/>
            <w:left w:val="none" w:sz="0" w:space="0" w:color="auto"/>
            <w:bottom w:val="none" w:sz="0" w:space="0" w:color="auto"/>
            <w:right w:val="none" w:sz="0" w:space="0" w:color="auto"/>
          </w:divBdr>
        </w:div>
        <w:div w:id="100416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k.at/web_de/static/mz-fragebogen_1.quartal_2014_07470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istik.at/web_de/static/fragebogen_eu-silc_2014_07522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k.at/web_de/static/fragebogen_eu-silc_2013_07006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istik.at/web_de/static/konsumerhebung_200910_codebuch_fuer_detaillierte_mikrodaten_057566.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62F5-F172-421A-829F-ACA7F5B0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3726</Words>
  <Characters>21757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Richard</dc:creator>
  <cp:lastModifiedBy>Vlasta ZUCHA</cp:lastModifiedBy>
  <cp:revision>17</cp:revision>
  <cp:lastPrinted>2014-05-15T16:21:00Z</cp:lastPrinted>
  <dcterms:created xsi:type="dcterms:W3CDTF">2014-05-14T11:47:00Z</dcterms:created>
  <dcterms:modified xsi:type="dcterms:W3CDTF">2014-05-15T17:18:00Z</dcterms:modified>
</cp:coreProperties>
</file>