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B4" w:rsidRDefault="00AB1934" w:rsidP="002C26DB">
      <w:pPr>
        <w:pStyle w:val="Title"/>
        <w:framePr w:wrap="notBeside"/>
        <w:rPr>
          <w:lang w:val="en-GB"/>
        </w:rPr>
      </w:pPr>
      <w:bookmarkStart w:id="0" w:name="_GoBack"/>
      <w:bookmarkEnd w:id="0"/>
      <w:r w:rsidRPr="00AB1934">
        <w:rPr>
          <w:lang w:val="en-GB"/>
        </w:rPr>
        <w:t>Model based estimation of indicators of poverty and social exclusion</w:t>
      </w:r>
      <w:r>
        <w:rPr>
          <w:b/>
          <w:lang w:val="en-GB"/>
        </w:rPr>
        <w:br/>
      </w:r>
    </w:p>
    <w:p w:rsidR="002C26DB" w:rsidRPr="004D2F94" w:rsidRDefault="00AB1934" w:rsidP="004D2F94">
      <w:pPr>
        <w:jc w:val="center"/>
        <w:rPr>
          <w:rStyle w:val="Strong"/>
          <w:b w:val="0"/>
          <w:lang w:val="en-GB"/>
        </w:rPr>
      </w:pPr>
      <w:r>
        <w:rPr>
          <w:rStyle w:val="Strong"/>
          <w:b w:val="0"/>
          <w:lang w:val="en-GB"/>
        </w:rPr>
        <w:t>Thomas</w:t>
      </w:r>
      <w:r w:rsidR="002C26DB" w:rsidRPr="004D2F94">
        <w:rPr>
          <w:rStyle w:val="Strong"/>
          <w:b w:val="0"/>
          <w:lang w:val="en-GB"/>
        </w:rPr>
        <w:t xml:space="preserve"> </w:t>
      </w:r>
      <w:r>
        <w:rPr>
          <w:rStyle w:val="Strong"/>
          <w:b w:val="0"/>
          <w:lang w:val="en-GB"/>
        </w:rPr>
        <w:t>Glase</w:t>
      </w:r>
      <w:r w:rsidR="002C26DB" w:rsidRPr="004D2F94">
        <w:rPr>
          <w:rStyle w:val="Strong"/>
          <w:b w:val="0"/>
          <w:lang w:val="en-GB"/>
        </w:rPr>
        <w:t>r, Statistics Austria, Vienna</w:t>
      </w:r>
    </w:p>
    <w:p w:rsidR="008B4103" w:rsidRPr="008B4103" w:rsidRDefault="008B4103" w:rsidP="008B4103">
      <w:pPr>
        <w:pStyle w:val="Quote"/>
        <w:rPr>
          <w:lang w:val="en-GB"/>
        </w:rPr>
      </w:pPr>
      <w:r>
        <w:rPr>
          <w:lang w:val="en-GB"/>
        </w:rPr>
        <w:t xml:space="preserve">Statistics Austria started using mainly register data for the measurement of household income in EU-SILC from 2012 onwards which caused a break in time series. For EU-SILC 2011 household incomes from registers and from </w:t>
      </w:r>
      <w:r w:rsidR="002506E2">
        <w:rPr>
          <w:lang w:val="en-GB"/>
        </w:rPr>
        <w:t>interviews</w:t>
      </w:r>
      <w:r>
        <w:rPr>
          <w:lang w:val="en-GB"/>
        </w:rPr>
        <w:t xml:space="preserve"> </w:t>
      </w:r>
      <w:r w:rsidR="00463BA2">
        <w:rPr>
          <w:lang w:val="en-GB"/>
        </w:rPr>
        <w:t>are available</w:t>
      </w:r>
      <w:r>
        <w:rPr>
          <w:lang w:val="en-GB"/>
        </w:rPr>
        <w:t xml:space="preserve">. Thus household income can be calculated mainly using registers and a comparison between the two data sources is possible. At the time of the publication of the 2012 results no suitable way to link register and </w:t>
      </w:r>
      <w:r w:rsidR="002506E2">
        <w:rPr>
          <w:lang w:val="en-GB"/>
        </w:rPr>
        <w:t>interview</w:t>
      </w:r>
      <w:r>
        <w:rPr>
          <w:lang w:val="en-GB"/>
        </w:rPr>
        <w:t xml:space="preserve"> data was available yet for EU-SILC 2008-2010. However, the effect of the usage of register data on the household income could be modelled with 2011 data. The paper presents different versions of such models tested by Statistics Austria and compares their strengths and weaknesses.</w:t>
      </w:r>
      <w:r w:rsidRPr="00766A8F">
        <w:rPr>
          <w:lang w:val="en-GB"/>
        </w:rPr>
        <w:t xml:space="preserve"> </w:t>
      </w:r>
      <w:r>
        <w:rPr>
          <w:lang w:val="en-GB"/>
        </w:rPr>
        <w:t xml:space="preserve">The model with the best fit was applied to the years 2008-2010. The estimates of the register household income facilitate a new time series of Europe 2020 headline indicators of poverty and social exclusion for 2008-2012. This is </w:t>
      </w:r>
      <w:r w:rsidR="0043576B">
        <w:rPr>
          <w:lang w:val="en-GB"/>
        </w:rPr>
        <w:t>of importance,</w:t>
      </w:r>
      <w:r>
        <w:rPr>
          <w:lang w:val="en-GB"/>
        </w:rPr>
        <w:t xml:space="preserve"> because the Europe 2020 strategy in Austria is aimed at reducing the number of </w:t>
      </w:r>
      <w:proofErr w:type="gramStart"/>
      <w:r>
        <w:rPr>
          <w:lang w:val="en-GB"/>
        </w:rPr>
        <w:t>persons</w:t>
      </w:r>
      <w:proofErr w:type="gramEnd"/>
      <w:r>
        <w:rPr>
          <w:lang w:val="en-GB"/>
        </w:rPr>
        <w:t xml:space="preserve"> </w:t>
      </w:r>
      <w:r w:rsidR="0043711D">
        <w:rPr>
          <w:lang w:val="en-GB"/>
        </w:rPr>
        <w:t>at-risk-of-poverty</w:t>
      </w:r>
      <w:r>
        <w:rPr>
          <w:lang w:val="en-GB"/>
        </w:rPr>
        <w:t xml:space="preserve"> or social exclusion by 235,000 within ten years, starting with 2008. To evaluate this strategy a continuing time series from 2008 onwards is necessary.</w:t>
      </w:r>
    </w:p>
    <w:p w:rsidR="004D2F94" w:rsidRDefault="004D2F94" w:rsidP="004D2F94">
      <w:pPr>
        <w:pStyle w:val="Heading1"/>
        <w:rPr>
          <w:lang w:val="en-GB"/>
        </w:rPr>
      </w:pPr>
      <w:r>
        <w:rPr>
          <w:lang w:val="en-GB"/>
        </w:rPr>
        <w:t>Introduction</w:t>
      </w:r>
    </w:p>
    <w:p w:rsidR="00993FF7" w:rsidRDefault="001C0ECD" w:rsidP="006F13EA">
      <w:pPr>
        <w:rPr>
          <w:lang w:val="en-GB"/>
        </w:rPr>
      </w:pPr>
      <w:r>
        <w:rPr>
          <w:lang w:val="en-GB"/>
        </w:rPr>
        <w:t xml:space="preserve">EU-SILC (European Community Statistics on Income and Living Conditions) is the major source for statistics </w:t>
      </w:r>
      <w:r w:rsidR="00D92575">
        <w:rPr>
          <w:lang w:val="en-GB"/>
        </w:rPr>
        <w:t>on</w:t>
      </w:r>
      <w:r>
        <w:rPr>
          <w:lang w:val="en-GB"/>
        </w:rPr>
        <w:t xml:space="preserve"> poverty, social inclusion and income of private households in Austria. </w:t>
      </w:r>
    </w:p>
    <w:p w:rsidR="004D2F94" w:rsidRDefault="001C0ECD" w:rsidP="000B6FEB">
      <w:pPr>
        <w:rPr>
          <w:lang w:val="en-GB"/>
        </w:rPr>
      </w:pPr>
      <w:r>
        <w:rPr>
          <w:lang w:val="en-GB"/>
        </w:rPr>
        <w:t>Since 2004</w:t>
      </w:r>
      <w:r w:rsidR="00D92575">
        <w:rPr>
          <w:lang w:val="en-GB"/>
        </w:rPr>
        <w:t xml:space="preserve"> EU-SILC in Austria</w:t>
      </w:r>
      <w:r>
        <w:rPr>
          <w:lang w:val="en-GB"/>
        </w:rPr>
        <w:t xml:space="preserve"> is carried out on a yearly basis by a sample survey that applies a rotational sampling design with four rotational subsamples. These subsamples are drawn from the central residence register (ZMR) by a probability sample. Participation in the survey is voluntary</w:t>
      </w:r>
      <w:r w:rsidR="00093DAB">
        <w:rPr>
          <w:lang w:val="en-GB"/>
        </w:rPr>
        <w:t>.</w:t>
      </w:r>
      <w:r>
        <w:rPr>
          <w:lang w:val="en-GB"/>
        </w:rPr>
        <w:t xml:space="preserve"> </w:t>
      </w:r>
      <w:r w:rsidR="00093DAB">
        <w:rPr>
          <w:lang w:val="en-GB"/>
        </w:rPr>
        <w:t xml:space="preserve">The most important indicator based on EU-SILC is the number of “people </w:t>
      </w:r>
      <w:r w:rsidR="0043711D">
        <w:rPr>
          <w:lang w:val="en-GB"/>
        </w:rPr>
        <w:t>at-risk-of-poverty</w:t>
      </w:r>
      <w:r w:rsidR="00093DAB">
        <w:rPr>
          <w:lang w:val="en-GB"/>
        </w:rPr>
        <w:t xml:space="preserve"> of social exclusion” (AROPE) which is part of the indicators that are necessary to measure the Europe 2020 </w:t>
      </w:r>
      <w:r w:rsidR="00AC2F1E">
        <w:rPr>
          <w:lang w:val="en-GB"/>
        </w:rPr>
        <w:t>target</w:t>
      </w:r>
      <w:r w:rsidR="00557E99">
        <w:rPr>
          <w:lang w:val="en-GB"/>
        </w:rPr>
        <w:t xml:space="preserve"> </w:t>
      </w:r>
      <w:r w:rsidR="00AC2F1E">
        <w:rPr>
          <w:lang w:val="en-GB"/>
        </w:rPr>
        <w:t xml:space="preserve">to have “at least 20 million fewer people in or </w:t>
      </w:r>
      <w:r w:rsidR="0043711D">
        <w:rPr>
          <w:lang w:val="en-GB"/>
        </w:rPr>
        <w:t>at-risk-of-poverty</w:t>
      </w:r>
      <w:r w:rsidR="00AC2F1E">
        <w:rPr>
          <w:lang w:val="en-GB"/>
        </w:rPr>
        <w:t xml:space="preserve"> and social exclusion”</w:t>
      </w:r>
      <w:r w:rsidR="00093DAB">
        <w:rPr>
          <w:lang w:val="en-GB"/>
        </w:rPr>
        <w:t>.</w:t>
      </w:r>
      <w:r w:rsidR="00093DAB">
        <w:rPr>
          <w:rStyle w:val="FootnoteReference"/>
          <w:lang w:val="en-GB"/>
        </w:rPr>
        <w:footnoteReference w:id="1"/>
      </w:r>
      <w:r w:rsidR="00093DAB">
        <w:rPr>
          <w:lang w:val="en-GB"/>
        </w:rPr>
        <w:t xml:space="preserve"> </w:t>
      </w:r>
      <w:r w:rsidR="00557E99">
        <w:rPr>
          <w:lang w:val="en-GB"/>
        </w:rPr>
        <w:t xml:space="preserve">For Austria this </w:t>
      </w:r>
      <w:r w:rsidR="0029128E">
        <w:rPr>
          <w:lang w:val="en-GB"/>
        </w:rPr>
        <w:t>translates to</w:t>
      </w:r>
      <w:r w:rsidR="00557E99">
        <w:rPr>
          <w:lang w:val="en-GB"/>
        </w:rPr>
        <w:t xml:space="preserve"> 235,000 people </w:t>
      </w:r>
      <w:r w:rsidR="0029128E">
        <w:rPr>
          <w:lang w:val="en-GB"/>
        </w:rPr>
        <w:t xml:space="preserve">to be put </w:t>
      </w:r>
      <w:r w:rsidR="00557E99">
        <w:rPr>
          <w:lang w:val="en-GB"/>
        </w:rPr>
        <w:t xml:space="preserve">out of poverty starting from 2008, which accounts for 23,500 people each year during the </w:t>
      </w:r>
      <w:r w:rsidR="00557E99">
        <w:rPr>
          <w:lang w:val="en-GB"/>
        </w:rPr>
        <w:lastRenderedPageBreak/>
        <w:t>agreed ten year period of measurement.</w:t>
      </w:r>
      <w:r w:rsidR="009D4AA7">
        <w:rPr>
          <w:lang w:val="en-GB"/>
        </w:rPr>
        <w:t xml:space="preserve"> </w:t>
      </w:r>
      <w:r w:rsidR="00093DAB">
        <w:rPr>
          <w:lang w:val="en-GB"/>
        </w:rPr>
        <w:t>AROPE is defined as being affected by at least one of th</w:t>
      </w:r>
      <w:r w:rsidR="0029128E">
        <w:rPr>
          <w:lang w:val="en-GB"/>
        </w:rPr>
        <w:t>e following conditions: (1) “At-</w:t>
      </w:r>
      <w:r w:rsidR="00093DAB">
        <w:rPr>
          <w:lang w:val="en-GB"/>
        </w:rPr>
        <w:t>risk</w:t>
      </w:r>
      <w:r w:rsidR="0029128E">
        <w:rPr>
          <w:lang w:val="en-GB"/>
        </w:rPr>
        <w:t>-</w:t>
      </w:r>
      <w:r w:rsidR="00093DAB">
        <w:rPr>
          <w:lang w:val="en-GB"/>
        </w:rPr>
        <w:t>of</w:t>
      </w:r>
      <w:r w:rsidR="0029128E">
        <w:rPr>
          <w:lang w:val="en-GB"/>
        </w:rPr>
        <w:t>-</w:t>
      </w:r>
      <w:r w:rsidR="00093DAB">
        <w:rPr>
          <w:lang w:val="en-GB"/>
        </w:rPr>
        <w:t>poverty” (</w:t>
      </w:r>
      <w:r w:rsidR="00E835CC">
        <w:rPr>
          <w:lang w:val="en-GB"/>
        </w:rPr>
        <w:t>AROP</w:t>
      </w:r>
      <w:r w:rsidR="00093DAB">
        <w:rPr>
          <w:lang w:val="en-GB"/>
        </w:rPr>
        <w:t xml:space="preserve">) defined as </w:t>
      </w:r>
      <w:r w:rsidR="00557E99">
        <w:rPr>
          <w:lang w:val="en-GB"/>
        </w:rPr>
        <w:t xml:space="preserve">persons in </w:t>
      </w:r>
      <w:r w:rsidR="00093DAB">
        <w:rPr>
          <w:lang w:val="en-GB"/>
        </w:rPr>
        <w:t>households with</w:t>
      </w:r>
      <w:r w:rsidR="0029128E">
        <w:rPr>
          <w:lang w:val="en-GB"/>
        </w:rPr>
        <w:t xml:space="preserve"> an</w:t>
      </w:r>
      <w:r w:rsidR="00093DAB">
        <w:rPr>
          <w:lang w:val="en-GB"/>
        </w:rPr>
        <w:t xml:space="preserve"> </w:t>
      </w:r>
      <w:proofErr w:type="spellStart"/>
      <w:r w:rsidR="00093DAB">
        <w:rPr>
          <w:lang w:val="en-GB"/>
        </w:rPr>
        <w:t>equivalised</w:t>
      </w:r>
      <w:proofErr w:type="spellEnd"/>
      <w:r w:rsidR="00093DAB">
        <w:rPr>
          <w:lang w:val="en-GB"/>
        </w:rPr>
        <w:t xml:space="preserve"> household income</w:t>
      </w:r>
      <w:bookmarkStart w:id="1" w:name="_Ref388638353"/>
      <w:r w:rsidR="00557E99">
        <w:rPr>
          <w:rStyle w:val="FootnoteReference"/>
          <w:lang w:val="en-GB"/>
        </w:rPr>
        <w:footnoteReference w:id="2"/>
      </w:r>
      <w:bookmarkEnd w:id="1"/>
      <w:r w:rsidR="00093DAB">
        <w:rPr>
          <w:lang w:val="en-GB"/>
        </w:rPr>
        <w:t xml:space="preserve"> below 60% of the median</w:t>
      </w:r>
      <w:r w:rsidR="00E93BFF">
        <w:rPr>
          <w:lang w:val="en-GB"/>
        </w:rPr>
        <w:t xml:space="preserve"> of referring distribution</w:t>
      </w:r>
      <w:r w:rsidR="00093DAB">
        <w:rPr>
          <w:lang w:val="en-GB"/>
        </w:rPr>
        <w:t>, (2) in a condition of severe material deprivation defined as a lack of resources defined by encountering at least four out of nine material deprivation indicators</w:t>
      </w:r>
      <w:r w:rsidR="00093DAB">
        <w:rPr>
          <w:rStyle w:val="FootnoteReference"/>
          <w:lang w:val="en-GB"/>
        </w:rPr>
        <w:footnoteReference w:id="3"/>
      </w:r>
      <w:r w:rsidR="00557E99">
        <w:rPr>
          <w:lang w:val="en-GB"/>
        </w:rPr>
        <w:t xml:space="preserve"> or</w:t>
      </w:r>
      <w:r w:rsidR="00093DAB">
        <w:rPr>
          <w:lang w:val="en-GB"/>
        </w:rPr>
        <w:t xml:space="preserve"> (3) living in a household with very low work intensity</w:t>
      </w:r>
      <w:r w:rsidR="00093DAB">
        <w:rPr>
          <w:rStyle w:val="FootnoteReference"/>
          <w:lang w:val="en-GB"/>
        </w:rPr>
        <w:footnoteReference w:id="4"/>
      </w:r>
      <w:r w:rsidR="00093DAB">
        <w:rPr>
          <w:lang w:val="en-GB"/>
        </w:rPr>
        <w:t>.</w:t>
      </w:r>
      <w:r w:rsidR="00480F85">
        <w:rPr>
          <w:lang w:val="en-GB"/>
        </w:rPr>
        <w:t xml:space="preserve"> </w:t>
      </w:r>
      <w:r w:rsidR="00254EFB">
        <w:rPr>
          <w:lang w:val="en-GB"/>
        </w:rPr>
        <w:t xml:space="preserve">Among these three indicators only </w:t>
      </w:r>
      <w:r w:rsidR="00E835CC">
        <w:rPr>
          <w:lang w:val="en-GB"/>
        </w:rPr>
        <w:t>AROP</w:t>
      </w:r>
      <w:r w:rsidR="00254EFB">
        <w:rPr>
          <w:lang w:val="en-GB"/>
        </w:rPr>
        <w:t xml:space="preserve"> is a monetary </w:t>
      </w:r>
      <w:r w:rsidR="00A338A8">
        <w:rPr>
          <w:lang w:val="en-GB"/>
        </w:rPr>
        <w:t>indicator depending on income information</w:t>
      </w:r>
      <w:r w:rsidR="00254EFB">
        <w:rPr>
          <w:lang w:val="en-GB"/>
        </w:rPr>
        <w:t>.</w:t>
      </w:r>
      <w:r w:rsidR="00675059">
        <w:rPr>
          <w:lang w:val="en-GB"/>
        </w:rPr>
        <w:t xml:space="preserve"> </w:t>
      </w:r>
      <w:r w:rsidR="00093DAB">
        <w:rPr>
          <w:lang w:val="en-GB"/>
        </w:rPr>
        <w:t>Data collection for EU-SILC in Austria is carried out</w:t>
      </w:r>
      <w:r>
        <w:rPr>
          <w:lang w:val="en-GB"/>
        </w:rPr>
        <w:t xml:space="preserve"> </w:t>
      </w:r>
      <w:r w:rsidR="007F7733">
        <w:rPr>
          <w:lang w:val="en-GB"/>
        </w:rPr>
        <w:t>by Computer Assisted Personal Interviewing (CAPI) and Computer Assisted Telephone Interviewing (CATI).</w:t>
      </w:r>
      <w:r>
        <w:rPr>
          <w:lang w:val="en-GB"/>
        </w:rPr>
        <w:t xml:space="preserve"> </w:t>
      </w:r>
      <w:r w:rsidR="00093DAB">
        <w:rPr>
          <w:lang w:val="en-GB"/>
        </w:rPr>
        <w:t>However, i</w:t>
      </w:r>
      <w:r>
        <w:rPr>
          <w:lang w:val="en-GB"/>
        </w:rPr>
        <w:t xml:space="preserve">n 2010 a national regulation </w:t>
      </w:r>
      <w:r w:rsidR="004A4B72">
        <w:rPr>
          <w:lang w:val="en-GB"/>
        </w:rPr>
        <w:t>was passed</w:t>
      </w:r>
      <w:r>
        <w:rPr>
          <w:lang w:val="en-GB"/>
        </w:rPr>
        <w:t xml:space="preserve"> which provides the legal</w:t>
      </w:r>
      <w:r w:rsidR="008C6ABA">
        <w:rPr>
          <w:lang w:val="en-GB"/>
        </w:rPr>
        <w:t xml:space="preserve"> basis for using income data from </w:t>
      </w:r>
      <w:r w:rsidR="004A4B72">
        <w:rPr>
          <w:lang w:val="en-GB"/>
        </w:rPr>
        <w:t>registers for EU-SILC.</w:t>
      </w:r>
      <w:r w:rsidR="004A4B72" w:rsidRPr="00557E99">
        <w:rPr>
          <w:vertAlign w:val="superscript"/>
        </w:rPr>
        <w:footnoteReference w:id="5"/>
      </w:r>
      <w:r w:rsidR="00FE147A">
        <w:rPr>
          <w:lang w:val="en-GB"/>
        </w:rPr>
        <w:t xml:space="preserve"> EU</w:t>
      </w:r>
      <w:r w:rsidR="00FE147A">
        <w:rPr>
          <w:lang w:val="en-GB"/>
        </w:rPr>
        <w:noBreakHyphen/>
        <w:t>SILC 2012 was the first year of the survey, were income was collected mainly from registers</w:t>
      </w:r>
      <w:r w:rsidR="00E93BFF">
        <w:rPr>
          <w:lang w:val="en-GB"/>
        </w:rPr>
        <w:t xml:space="preserve"> [2]</w:t>
      </w:r>
      <w:r w:rsidR="00FE147A">
        <w:rPr>
          <w:lang w:val="en-GB"/>
        </w:rPr>
        <w:t>.</w:t>
      </w:r>
      <w:r w:rsidR="001F4268">
        <w:rPr>
          <w:lang w:val="en-GB"/>
        </w:rPr>
        <w:t xml:space="preserve"> In 2011 </w:t>
      </w:r>
      <w:r w:rsidR="000F7CBA">
        <w:rPr>
          <w:lang w:val="en-GB"/>
        </w:rPr>
        <w:t>only pension income was retrieved from registers.</w:t>
      </w:r>
      <w:r w:rsidR="00FE147A">
        <w:rPr>
          <w:lang w:val="en-GB"/>
        </w:rPr>
        <w:t xml:space="preserve"> This </w:t>
      </w:r>
      <w:r w:rsidR="00A84DF1">
        <w:rPr>
          <w:lang w:val="en-GB"/>
        </w:rPr>
        <w:t xml:space="preserve">change in methodology </w:t>
      </w:r>
      <w:r w:rsidR="00FE147A">
        <w:rPr>
          <w:lang w:val="en-GB"/>
        </w:rPr>
        <w:t>lead to a break</w:t>
      </w:r>
      <w:r w:rsidR="00A84DF1">
        <w:rPr>
          <w:lang w:val="en-GB"/>
        </w:rPr>
        <w:t xml:space="preserve"> in time-series which affected the results of the Europe 2020 indicator</w:t>
      </w:r>
      <w:r w:rsidR="00093DAB">
        <w:rPr>
          <w:lang w:val="en-GB"/>
        </w:rPr>
        <w:t xml:space="preserve"> </w:t>
      </w:r>
      <w:r w:rsidR="00E835CC">
        <w:rPr>
          <w:lang w:val="en-GB"/>
        </w:rPr>
        <w:t>AROP</w:t>
      </w:r>
      <w:r w:rsidR="00093DAB">
        <w:rPr>
          <w:lang w:val="en-GB"/>
        </w:rPr>
        <w:t xml:space="preserve"> and consequently also AROPE</w:t>
      </w:r>
      <w:r w:rsidR="00E93BFF">
        <w:rPr>
          <w:lang w:val="en-GB"/>
        </w:rPr>
        <w:t xml:space="preserve"> [</w:t>
      </w:r>
      <w:r w:rsidR="00690249">
        <w:rPr>
          <w:lang w:val="en-GB"/>
        </w:rPr>
        <w:t>2</w:t>
      </w:r>
      <w:r w:rsidR="00E93BFF">
        <w:rPr>
          <w:lang w:val="en-GB"/>
        </w:rPr>
        <w:t>]</w:t>
      </w:r>
      <w:r w:rsidR="00A84DF1">
        <w:rPr>
          <w:lang w:val="en-GB"/>
        </w:rPr>
        <w:t>.</w:t>
      </w:r>
      <w:r w:rsidR="00634C3D" w:rsidRPr="00634C3D">
        <w:rPr>
          <w:lang w:val="en-GB"/>
        </w:rPr>
        <w:t xml:space="preserve"> </w:t>
      </w:r>
      <w:r w:rsidR="0044161E">
        <w:rPr>
          <w:lang w:val="en-GB"/>
        </w:rPr>
        <w:t>Since</w:t>
      </w:r>
      <w:r w:rsidR="00813408">
        <w:rPr>
          <w:lang w:val="en-GB"/>
        </w:rPr>
        <w:t xml:space="preserve"> </w:t>
      </w:r>
      <w:r w:rsidR="0044161E">
        <w:rPr>
          <w:lang w:val="en-GB"/>
        </w:rPr>
        <w:t xml:space="preserve">a continuing time series from 2008 onwards is necessary for </w:t>
      </w:r>
      <w:r w:rsidR="00813408">
        <w:rPr>
          <w:lang w:val="en-GB"/>
        </w:rPr>
        <w:t>evaluating the success of policies aim</w:t>
      </w:r>
      <w:r w:rsidR="0044161E">
        <w:rPr>
          <w:lang w:val="en-GB"/>
        </w:rPr>
        <w:t>ed</w:t>
      </w:r>
      <w:r w:rsidR="00813408">
        <w:rPr>
          <w:lang w:val="en-GB"/>
        </w:rPr>
        <w:t xml:space="preserve"> at reducing the risk of poverty or social exclusion a </w:t>
      </w:r>
      <w:r w:rsidR="00463465">
        <w:rPr>
          <w:lang w:val="en-GB"/>
        </w:rPr>
        <w:t>revis</w:t>
      </w:r>
      <w:r w:rsidR="00813408">
        <w:rPr>
          <w:lang w:val="en-GB"/>
        </w:rPr>
        <w:t xml:space="preserve">ion of the </w:t>
      </w:r>
      <w:r w:rsidR="00463465">
        <w:rPr>
          <w:lang w:val="en-GB"/>
        </w:rPr>
        <w:t xml:space="preserve">time series </w:t>
      </w:r>
      <w:r w:rsidR="00813408">
        <w:rPr>
          <w:lang w:val="en-GB"/>
        </w:rPr>
        <w:t>of AROPE</w:t>
      </w:r>
      <w:r w:rsidR="0044161E">
        <w:rPr>
          <w:lang w:val="en-GB"/>
        </w:rPr>
        <w:t xml:space="preserve"> spanning the years 2008-2012</w:t>
      </w:r>
      <w:r w:rsidR="00813408">
        <w:rPr>
          <w:lang w:val="en-GB"/>
        </w:rPr>
        <w:t xml:space="preserve"> has become necessary</w:t>
      </w:r>
      <w:r w:rsidR="0044161E">
        <w:rPr>
          <w:lang w:val="en-GB"/>
        </w:rPr>
        <w:t>.</w:t>
      </w:r>
      <w:r w:rsidR="00AD22A6">
        <w:rPr>
          <w:lang w:val="en-GB"/>
        </w:rPr>
        <w:t xml:space="preserve"> In order to distinguish AROP and AROPE based on the new methodology from the previous </w:t>
      </w:r>
      <w:r w:rsidR="009D4AA7">
        <w:rPr>
          <w:lang w:val="en-GB"/>
        </w:rPr>
        <w:t>one</w:t>
      </w:r>
      <w:r w:rsidR="00AD22A6">
        <w:rPr>
          <w:lang w:val="en-GB"/>
        </w:rPr>
        <w:t xml:space="preserve">, </w:t>
      </w:r>
      <w:proofErr w:type="gramStart"/>
      <w:r w:rsidR="00AD22A6">
        <w:rPr>
          <w:lang w:val="en-GB"/>
        </w:rPr>
        <w:t>AROP</w:t>
      </w:r>
      <w:r w:rsidR="00D546EE">
        <w:rPr>
          <w:vertAlign w:val="superscript"/>
          <w:lang w:val="en-GB"/>
        </w:rPr>
        <w:t>(</w:t>
      </w:r>
      <w:proofErr w:type="gramEnd"/>
      <w:r w:rsidR="00D546EE">
        <w:rPr>
          <w:vertAlign w:val="superscript"/>
          <w:lang w:val="en-GB"/>
        </w:rPr>
        <w:t>REG)</w:t>
      </w:r>
      <w:r w:rsidR="00AD22A6">
        <w:rPr>
          <w:lang w:val="en-GB"/>
        </w:rPr>
        <w:t xml:space="preserve"> and AROPE</w:t>
      </w:r>
      <w:r w:rsidR="00D546EE">
        <w:rPr>
          <w:vertAlign w:val="superscript"/>
          <w:lang w:val="en-GB"/>
        </w:rPr>
        <w:t>(REG)</w:t>
      </w:r>
      <w:r w:rsidR="00D546EE">
        <w:rPr>
          <w:lang w:val="en-GB"/>
        </w:rPr>
        <w:t xml:space="preserve"> </w:t>
      </w:r>
      <w:r w:rsidR="00AD22A6">
        <w:rPr>
          <w:lang w:val="en-GB"/>
        </w:rPr>
        <w:t>shall denote AROP and AROPE based on the new methodology using mainly register data for income measurement.</w:t>
      </w:r>
    </w:p>
    <w:p w:rsidR="004D2F94" w:rsidRDefault="00B870B6" w:rsidP="004D2F94">
      <w:pPr>
        <w:pStyle w:val="Heading1"/>
        <w:rPr>
          <w:lang w:val="en-GB"/>
        </w:rPr>
      </w:pPr>
      <w:r>
        <w:rPr>
          <w:lang w:val="en-GB"/>
        </w:rPr>
        <w:t>Revision of the time series</w:t>
      </w:r>
    </w:p>
    <w:p w:rsidR="00AB7ACA" w:rsidRDefault="00B870B6" w:rsidP="00B870B6">
      <w:pPr>
        <w:rPr>
          <w:lang w:val="en-GB"/>
        </w:rPr>
      </w:pPr>
      <w:r>
        <w:rPr>
          <w:lang w:val="en-GB"/>
        </w:rPr>
        <w:t xml:space="preserve">The first possibility for providing a new time series of </w:t>
      </w:r>
      <w:proofErr w:type="gramStart"/>
      <w:r w:rsidR="00D546EE">
        <w:rPr>
          <w:lang w:val="en-GB"/>
        </w:rPr>
        <w:t>AROPE</w:t>
      </w:r>
      <w:r w:rsidR="00D546EE">
        <w:rPr>
          <w:vertAlign w:val="superscript"/>
          <w:lang w:val="en-GB"/>
        </w:rPr>
        <w:t>(</w:t>
      </w:r>
      <w:proofErr w:type="gramEnd"/>
      <w:r w:rsidR="00D546EE">
        <w:rPr>
          <w:vertAlign w:val="superscript"/>
          <w:lang w:val="en-GB"/>
        </w:rPr>
        <w:t>REG)</w:t>
      </w:r>
      <w:r w:rsidR="00D546EE">
        <w:rPr>
          <w:lang w:val="en-GB"/>
        </w:rPr>
        <w:t xml:space="preserve"> </w:t>
      </w:r>
      <w:r>
        <w:rPr>
          <w:lang w:val="en-GB"/>
        </w:rPr>
        <w:t xml:space="preserve">based on the new methodology would be to calculate household income </w:t>
      </w:r>
      <w:r w:rsidRPr="00A338A8">
        <w:rPr>
          <w:lang w:val="en-GB"/>
        </w:rPr>
        <w:t xml:space="preserve">based </w:t>
      </w:r>
      <w:r>
        <w:rPr>
          <w:lang w:val="en-GB"/>
        </w:rPr>
        <w:t xml:space="preserve">on registers also for SILC 2008-2011 and then recalculating </w:t>
      </w:r>
      <w:r w:rsidR="00D546EE">
        <w:rPr>
          <w:lang w:val="en-GB"/>
        </w:rPr>
        <w:t>AROP</w:t>
      </w:r>
      <w:r w:rsidR="00D546EE">
        <w:rPr>
          <w:vertAlign w:val="superscript"/>
          <w:lang w:val="en-GB"/>
        </w:rPr>
        <w:t>(REG)</w:t>
      </w:r>
      <w:r>
        <w:rPr>
          <w:lang w:val="en-GB"/>
        </w:rPr>
        <w:t xml:space="preserve">and consequently also </w:t>
      </w:r>
      <w:r w:rsidR="00D546EE">
        <w:rPr>
          <w:lang w:val="en-GB"/>
        </w:rPr>
        <w:t>AROPE</w:t>
      </w:r>
      <w:r w:rsidR="00D546EE">
        <w:rPr>
          <w:vertAlign w:val="superscript"/>
          <w:lang w:val="en-GB"/>
        </w:rPr>
        <w:t>(REG)</w:t>
      </w:r>
      <w:r>
        <w:rPr>
          <w:lang w:val="en-GB"/>
        </w:rPr>
        <w:t>.</w:t>
      </w:r>
      <w:r w:rsidR="00A272DC">
        <w:rPr>
          <w:lang w:val="en-GB"/>
        </w:rPr>
        <w:t xml:space="preserve"> At the time of the </w:t>
      </w:r>
      <w:r w:rsidR="00A272DC">
        <w:rPr>
          <w:lang w:val="en-GB"/>
        </w:rPr>
        <w:lastRenderedPageBreak/>
        <w:t>publication of the results from EU-SILC 2012 (December 2013) only register data for EU</w:t>
      </w:r>
      <w:r w:rsidR="00A272DC">
        <w:rPr>
          <w:lang w:val="en-GB"/>
        </w:rPr>
        <w:noBreakHyphen/>
        <w:t>SILC</w:t>
      </w:r>
      <w:r w:rsidR="009348C2">
        <w:rPr>
          <w:lang w:val="en-GB"/>
        </w:rPr>
        <w:t> 2011 were available an</w:t>
      </w:r>
      <w:r w:rsidR="0044161E">
        <w:rPr>
          <w:lang w:val="en-GB"/>
        </w:rPr>
        <w:t>d</w:t>
      </w:r>
      <w:r w:rsidR="009348C2">
        <w:rPr>
          <w:lang w:val="en-GB"/>
        </w:rPr>
        <w:t xml:space="preserve"> could be used for recalculating household income</w:t>
      </w:r>
      <w:r w:rsidR="00FB376A">
        <w:rPr>
          <w:lang w:val="en-GB"/>
        </w:rPr>
        <w:t xml:space="preserve"> by matching register data to the sample of EU</w:t>
      </w:r>
      <w:r w:rsidR="00FB376A">
        <w:rPr>
          <w:lang w:val="en-GB"/>
        </w:rPr>
        <w:noBreakHyphen/>
        <w:t>SILC 2011</w:t>
      </w:r>
      <w:r w:rsidR="009348C2">
        <w:rPr>
          <w:lang w:val="en-GB"/>
        </w:rPr>
        <w:t>.</w:t>
      </w:r>
      <w:r w:rsidR="00254EFB">
        <w:rPr>
          <w:lang w:val="en-GB"/>
        </w:rPr>
        <w:t xml:space="preserve"> </w:t>
      </w:r>
      <w:r w:rsidR="00FB376A">
        <w:rPr>
          <w:lang w:val="en-GB"/>
        </w:rPr>
        <w:t>Therefore, in 2011 two version</w:t>
      </w:r>
      <w:r w:rsidR="00463BA2">
        <w:rPr>
          <w:lang w:val="en-GB"/>
        </w:rPr>
        <w:t>s of the household income exist</w:t>
      </w:r>
      <w:r w:rsidR="00FB376A">
        <w:rPr>
          <w:lang w:val="en-GB"/>
        </w:rPr>
        <w:t>, on</w:t>
      </w:r>
      <w:r w:rsidR="00B1555E">
        <w:rPr>
          <w:lang w:val="en-GB"/>
        </w:rPr>
        <w:t xml:space="preserve">e based </w:t>
      </w:r>
      <w:r w:rsidR="000F7CBA">
        <w:rPr>
          <w:lang w:val="en-GB"/>
        </w:rPr>
        <w:t>mainly</w:t>
      </w:r>
      <w:r w:rsidR="00B1555E">
        <w:rPr>
          <w:lang w:val="en-GB"/>
        </w:rPr>
        <w:t xml:space="preserve"> on data from </w:t>
      </w:r>
      <w:r w:rsidR="002506E2">
        <w:rPr>
          <w:lang w:val="en-GB"/>
        </w:rPr>
        <w:t>interview</w:t>
      </w:r>
      <w:r w:rsidR="000F7CBA">
        <w:rPr>
          <w:lang w:val="en-GB"/>
        </w:rPr>
        <w:t>s</w:t>
      </w:r>
      <w:r w:rsidR="00B1555E">
        <w:rPr>
          <w:lang w:val="en-GB"/>
        </w:rPr>
        <w:t xml:space="preserve"> </w:t>
      </w:r>
      <w:r w:rsidR="00A338A8">
        <w:rPr>
          <w:lang w:val="en-GB"/>
        </w:rPr>
        <w:t>(</w:t>
      </w:r>
      <w:r w:rsidR="00A338A8" w:rsidRPr="00A338A8">
        <w:rPr>
          <w:lang w:val="en-GB"/>
        </w:rPr>
        <w:t>HINC</w:t>
      </w:r>
      <w:r w:rsidR="00A338A8">
        <w:rPr>
          <w:lang w:val="en-GB"/>
        </w:rPr>
        <w:t xml:space="preserve">) </w:t>
      </w:r>
      <w:r w:rsidR="00B1555E">
        <w:rPr>
          <w:lang w:val="en-GB"/>
        </w:rPr>
        <w:t>and one based mainly on register income data</w:t>
      </w:r>
      <w:r w:rsidR="00A338A8">
        <w:rPr>
          <w:lang w:val="en-GB"/>
        </w:rPr>
        <w:t xml:space="preserve"> (</w:t>
      </w:r>
      <w:proofErr w:type="gramStart"/>
      <w:r w:rsidR="00A338A8" w:rsidRPr="00A338A8">
        <w:rPr>
          <w:lang w:val="en-GB"/>
        </w:rPr>
        <w:t>HINC</w:t>
      </w:r>
      <w:r w:rsidR="00A338A8">
        <w:rPr>
          <w:vertAlign w:val="superscript"/>
          <w:lang w:val="en-GB"/>
        </w:rPr>
        <w:t>(</w:t>
      </w:r>
      <w:proofErr w:type="gramEnd"/>
      <w:r w:rsidR="00A338A8">
        <w:rPr>
          <w:vertAlign w:val="superscript"/>
          <w:lang w:val="en-GB"/>
        </w:rPr>
        <w:t>REG)</w:t>
      </w:r>
      <w:r w:rsidR="00A338A8">
        <w:rPr>
          <w:lang w:val="en-GB"/>
        </w:rPr>
        <w:t>)</w:t>
      </w:r>
      <w:r w:rsidR="00B1555E">
        <w:rPr>
          <w:lang w:val="en-GB"/>
        </w:rPr>
        <w:t xml:space="preserve">. </w:t>
      </w:r>
      <w:r w:rsidR="00254EFB">
        <w:rPr>
          <w:lang w:val="en-GB"/>
        </w:rPr>
        <w:t xml:space="preserve">Indicators based on </w:t>
      </w:r>
      <w:r w:rsidR="00B1555E">
        <w:rPr>
          <w:lang w:val="en-GB"/>
        </w:rPr>
        <w:t>the</w:t>
      </w:r>
      <w:r w:rsidR="005A1EA2">
        <w:rPr>
          <w:lang w:val="en-GB"/>
        </w:rPr>
        <w:t xml:space="preserve"> recalculated </w:t>
      </w:r>
      <w:proofErr w:type="spellStart"/>
      <w:r w:rsidR="005A1EA2">
        <w:rPr>
          <w:lang w:val="en-GB"/>
        </w:rPr>
        <w:t>equivalised</w:t>
      </w:r>
      <w:proofErr w:type="spellEnd"/>
      <w:r w:rsidR="005A1EA2">
        <w:rPr>
          <w:lang w:val="en-GB"/>
        </w:rPr>
        <w:t xml:space="preserve"> income show similar results for </w:t>
      </w:r>
      <w:r w:rsidR="00D546EE">
        <w:rPr>
          <w:lang w:val="en-GB"/>
        </w:rPr>
        <w:t>AROP</w:t>
      </w:r>
      <w:r w:rsidR="00D546EE">
        <w:rPr>
          <w:vertAlign w:val="superscript"/>
          <w:lang w:val="en-GB"/>
        </w:rPr>
        <w:t>(REG)</w:t>
      </w:r>
      <w:r w:rsidR="00D546EE">
        <w:rPr>
          <w:lang w:val="en-GB"/>
        </w:rPr>
        <w:t xml:space="preserve"> </w:t>
      </w:r>
      <w:r w:rsidR="005A1EA2">
        <w:rPr>
          <w:lang w:val="en-GB"/>
        </w:rPr>
        <w:t>(14.5% in 2011</w:t>
      </w:r>
      <w:r w:rsidR="001F4268">
        <w:rPr>
          <w:lang w:val="en-GB"/>
        </w:rPr>
        <w:t xml:space="preserve"> and 14.4% in 2012</w:t>
      </w:r>
      <w:r w:rsidR="005A1EA2">
        <w:rPr>
          <w:lang w:val="en-GB"/>
        </w:rPr>
        <w:t>), meaning that by using the same new methodology for EU</w:t>
      </w:r>
      <w:r w:rsidR="005A1EA2">
        <w:rPr>
          <w:lang w:val="en-GB"/>
        </w:rPr>
        <w:noBreakHyphen/>
        <w:t>SILC 2011 and EU</w:t>
      </w:r>
      <w:r w:rsidR="005A1EA2">
        <w:rPr>
          <w:lang w:val="en-GB"/>
        </w:rPr>
        <w:noBreakHyphen/>
        <w:t xml:space="preserve">SILC 2012 the </w:t>
      </w:r>
      <w:r w:rsidR="0043711D">
        <w:rPr>
          <w:lang w:val="en-GB"/>
        </w:rPr>
        <w:t>at-risk-of-poverty</w:t>
      </w:r>
      <w:r w:rsidR="005A1EA2">
        <w:rPr>
          <w:lang w:val="en-GB"/>
        </w:rPr>
        <w:t xml:space="preserve"> rate does not change significantly between the two years. </w:t>
      </w:r>
      <w:r w:rsidR="00FC54AF">
        <w:rPr>
          <w:lang w:val="en-GB"/>
        </w:rPr>
        <w:t>For EU</w:t>
      </w:r>
      <w:r w:rsidR="00FC54AF">
        <w:rPr>
          <w:lang w:val="en-GB"/>
        </w:rPr>
        <w:noBreakHyphen/>
        <w:t>SILC 2008-2010 an ex post recalculation of income based on re</w:t>
      </w:r>
      <w:r w:rsidR="005A1EA2">
        <w:rPr>
          <w:lang w:val="en-GB"/>
        </w:rPr>
        <w:t xml:space="preserve">gisters would be more difficult, but there exists another solution for gaining a time series of Europe 2020 </w:t>
      </w:r>
      <w:r w:rsidR="00AB7ACA">
        <w:rPr>
          <w:lang w:val="en-GB"/>
        </w:rPr>
        <w:t>indicators</w:t>
      </w:r>
      <w:r w:rsidR="005A1EA2">
        <w:rPr>
          <w:lang w:val="en-GB"/>
        </w:rPr>
        <w:t xml:space="preserve"> for 2008-2012 based on register income. Since in 2011 household income based on the </w:t>
      </w:r>
      <w:r w:rsidR="002506E2">
        <w:rPr>
          <w:lang w:val="en-GB"/>
        </w:rPr>
        <w:t>interview</w:t>
      </w:r>
      <w:r w:rsidR="005A1EA2">
        <w:rPr>
          <w:lang w:val="en-GB"/>
        </w:rPr>
        <w:t xml:space="preserve"> and on registers is available, the effect of using mainly registers as a data source for income </w:t>
      </w:r>
      <w:r w:rsidR="00AB7ACA">
        <w:rPr>
          <w:lang w:val="en-GB"/>
        </w:rPr>
        <w:t xml:space="preserve">on the indicators </w:t>
      </w:r>
      <w:proofErr w:type="gramStart"/>
      <w:r w:rsidR="00D546EE">
        <w:rPr>
          <w:lang w:val="en-GB"/>
        </w:rPr>
        <w:t>AROP</w:t>
      </w:r>
      <w:r w:rsidR="00D546EE">
        <w:rPr>
          <w:vertAlign w:val="superscript"/>
          <w:lang w:val="en-GB"/>
        </w:rPr>
        <w:t>(</w:t>
      </w:r>
      <w:proofErr w:type="gramEnd"/>
      <w:r w:rsidR="00D546EE">
        <w:rPr>
          <w:vertAlign w:val="superscript"/>
          <w:lang w:val="en-GB"/>
        </w:rPr>
        <w:t xml:space="preserve">REG) </w:t>
      </w:r>
      <w:r w:rsidR="00AB7ACA">
        <w:rPr>
          <w:lang w:val="en-GB"/>
        </w:rPr>
        <w:t xml:space="preserve">and </w:t>
      </w:r>
      <w:r w:rsidR="00D546EE">
        <w:rPr>
          <w:lang w:val="en-GB"/>
        </w:rPr>
        <w:t>AROPE</w:t>
      </w:r>
      <w:r w:rsidR="00D546EE">
        <w:rPr>
          <w:vertAlign w:val="superscript"/>
          <w:lang w:val="en-GB"/>
        </w:rPr>
        <w:t xml:space="preserve">(REG) </w:t>
      </w:r>
      <w:r w:rsidR="000F7CBA">
        <w:rPr>
          <w:lang w:val="en-GB"/>
        </w:rPr>
        <w:t>could</w:t>
      </w:r>
      <w:r w:rsidR="005A1EA2">
        <w:rPr>
          <w:lang w:val="en-GB"/>
        </w:rPr>
        <w:t xml:space="preserve"> be</w:t>
      </w:r>
      <w:r w:rsidR="000F7CBA">
        <w:rPr>
          <w:lang w:val="en-GB"/>
        </w:rPr>
        <w:t xml:space="preserve"> modelled and a</w:t>
      </w:r>
      <w:r w:rsidR="005A1EA2">
        <w:rPr>
          <w:lang w:val="en-GB"/>
        </w:rPr>
        <w:t xml:space="preserve"> continuing time series from 2008-2012 based on the new methodology</w:t>
      </w:r>
      <w:r w:rsidR="000F7CBA">
        <w:rPr>
          <w:lang w:val="en-GB"/>
        </w:rPr>
        <w:t xml:space="preserve"> could be established by model based AROP</w:t>
      </w:r>
      <w:r w:rsidR="000F7CBA">
        <w:rPr>
          <w:vertAlign w:val="superscript"/>
          <w:lang w:val="en-GB"/>
        </w:rPr>
        <w:t xml:space="preserve">(REG) </w:t>
      </w:r>
      <w:r w:rsidR="000F7CBA">
        <w:rPr>
          <w:lang w:val="en-GB"/>
        </w:rPr>
        <w:t>and AROPE</w:t>
      </w:r>
      <w:r w:rsidR="000F7CBA">
        <w:rPr>
          <w:vertAlign w:val="superscript"/>
          <w:lang w:val="en-GB"/>
        </w:rPr>
        <w:t>(REG)</w:t>
      </w:r>
      <w:r w:rsidR="000F7CBA">
        <w:rPr>
          <w:lang w:val="en-GB"/>
        </w:rPr>
        <w:t xml:space="preserve"> for 2008-2010.</w:t>
      </w:r>
    </w:p>
    <w:p w:rsidR="00FB376A" w:rsidRDefault="00FB376A" w:rsidP="00FB376A">
      <w:pPr>
        <w:pStyle w:val="Heading1"/>
        <w:rPr>
          <w:lang w:val="en-GB"/>
        </w:rPr>
      </w:pPr>
      <w:bookmarkStart w:id="2" w:name="_Ref388985567"/>
      <w:r>
        <w:rPr>
          <w:lang w:val="en-GB"/>
        </w:rPr>
        <w:t>Choice of models</w:t>
      </w:r>
      <w:bookmarkEnd w:id="2"/>
    </w:p>
    <w:p w:rsidR="00A0228C" w:rsidRDefault="00FB376A" w:rsidP="00FB376A">
      <w:pPr>
        <w:rPr>
          <w:lang w:val="en-GB"/>
        </w:rPr>
      </w:pPr>
      <w:r>
        <w:rPr>
          <w:lang w:val="en-GB"/>
        </w:rPr>
        <w:t xml:space="preserve">Several ways of estimating </w:t>
      </w:r>
      <w:proofErr w:type="gramStart"/>
      <w:r w:rsidR="00D546EE">
        <w:rPr>
          <w:lang w:val="en-GB"/>
        </w:rPr>
        <w:t>AROP</w:t>
      </w:r>
      <w:r w:rsidR="00D546EE">
        <w:rPr>
          <w:vertAlign w:val="superscript"/>
          <w:lang w:val="en-GB"/>
        </w:rPr>
        <w:t>(</w:t>
      </w:r>
      <w:proofErr w:type="gramEnd"/>
      <w:r w:rsidR="00D546EE">
        <w:rPr>
          <w:vertAlign w:val="superscript"/>
          <w:lang w:val="en-GB"/>
        </w:rPr>
        <w:t xml:space="preserve">REG) </w:t>
      </w:r>
      <w:r>
        <w:rPr>
          <w:lang w:val="en-GB"/>
        </w:rPr>
        <w:t xml:space="preserve">and </w:t>
      </w:r>
      <w:r w:rsidR="00D546EE">
        <w:rPr>
          <w:lang w:val="en-GB"/>
        </w:rPr>
        <w:t>AROPE</w:t>
      </w:r>
      <w:r w:rsidR="00D546EE">
        <w:rPr>
          <w:vertAlign w:val="superscript"/>
          <w:lang w:val="en-GB"/>
        </w:rPr>
        <w:t xml:space="preserve">(REG) </w:t>
      </w:r>
      <w:r>
        <w:rPr>
          <w:lang w:val="en-GB"/>
        </w:rPr>
        <w:t>for the years 2008-2010 including t</w:t>
      </w:r>
      <w:r w:rsidR="00572150">
        <w:rPr>
          <w:lang w:val="en-GB"/>
        </w:rPr>
        <w:t>he effect that register data have</w:t>
      </w:r>
      <w:r>
        <w:rPr>
          <w:lang w:val="en-GB"/>
        </w:rPr>
        <w:t xml:space="preserve"> on these indicators were tested by </w:t>
      </w:r>
      <w:r w:rsidR="009B2097">
        <w:rPr>
          <w:lang w:val="en-GB"/>
        </w:rPr>
        <w:t>S</w:t>
      </w:r>
      <w:r>
        <w:rPr>
          <w:lang w:val="en-GB"/>
        </w:rPr>
        <w:t>tatistics Austria.</w:t>
      </w:r>
      <w:r w:rsidR="009B2097">
        <w:rPr>
          <w:lang w:val="en-GB"/>
        </w:rPr>
        <w:t xml:space="preserve"> Among these</w:t>
      </w:r>
      <w:r w:rsidR="000F7CBA">
        <w:rPr>
          <w:lang w:val="en-GB"/>
        </w:rPr>
        <w:t>,</w:t>
      </w:r>
      <w:r w:rsidR="009B2097">
        <w:rPr>
          <w:lang w:val="en-GB"/>
        </w:rPr>
        <w:t xml:space="preserve"> </w:t>
      </w:r>
      <w:r w:rsidR="00B434A7">
        <w:rPr>
          <w:lang w:val="en-GB"/>
        </w:rPr>
        <w:t>three variants</w:t>
      </w:r>
      <w:r w:rsidR="009B2097">
        <w:rPr>
          <w:lang w:val="en-GB"/>
        </w:rPr>
        <w:t xml:space="preserve"> based on different </w:t>
      </w:r>
      <w:r w:rsidR="00572150">
        <w:rPr>
          <w:lang w:val="en-GB"/>
        </w:rPr>
        <w:t>approaches can be distinguished which shall be discussed in detail in thi</w:t>
      </w:r>
      <w:r w:rsidR="00A749D2">
        <w:rPr>
          <w:lang w:val="en-GB"/>
        </w:rPr>
        <w:t>s</w:t>
      </w:r>
      <w:r w:rsidR="00572150">
        <w:rPr>
          <w:lang w:val="en-GB"/>
        </w:rPr>
        <w:t xml:space="preserve"> chapter.</w:t>
      </w:r>
    </w:p>
    <w:p w:rsidR="009B2097" w:rsidRDefault="009B2097" w:rsidP="00FB376A">
      <w:pPr>
        <w:rPr>
          <w:lang w:val="en-GB"/>
        </w:rPr>
      </w:pPr>
    </w:p>
    <w:p w:rsidR="009B2097" w:rsidRPr="009B2097" w:rsidRDefault="007A5979" w:rsidP="009B2097">
      <w:pPr>
        <w:rPr>
          <w:i/>
          <w:lang w:val="en-GB"/>
        </w:rPr>
      </w:pPr>
      <w:r>
        <w:rPr>
          <w:i/>
          <w:lang w:val="en-GB"/>
        </w:rPr>
        <w:t>Variant</w:t>
      </w:r>
      <w:r w:rsidR="009B2097" w:rsidRPr="009B2097">
        <w:rPr>
          <w:i/>
          <w:lang w:val="en-GB"/>
        </w:rPr>
        <w:t xml:space="preserve"> 1) Direct estimation of indicators</w:t>
      </w:r>
    </w:p>
    <w:p w:rsidR="00B352C4" w:rsidRPr="00023DA2" w:rsidRDefault="00F4006B" w:rsidP="00B352C4">
      <w:pPr>
        <w:rPr>
          <w:lang w:val="en-GB"/>
        </w:rPr>
      </w:pPr>
      <w:r>
        <w:rPr>
          <w:lang w:val="en-GB"/>
        </w:rPr>
        <w:t xml:space="preserve">Since establishing a new continuous time series of </w:t>
      </w:r>
      <w:r w:rsidR="00D546EE">
        <w:rPr>
          <w:lang w:val="en-GB"/>
        </w:rPr>
        <w:t>AROPE</w:t>
      </w:r>
      <w:r w:rsidR="00D546EE">
        <w:rPr>
          <w:vertAlign w:val="superscript"/>
          <w:lang w:val="en-GB"/>
        </w:rPr>
        <w:t xml:space="preserve">(REG) </w:t>
      </w:r>
      <w:r>
        <w:rPr>
          <w:lang w:val="en-GB"/>
        </w:rPr>
        <w:t xml:space="preserve">including register income data is the main motivation for estimating Europe 2020 indicators for 2008-2010 the straightforward solution for this challenge is to directly estimate the </w:t>
      </w:r>
      <w:r w:rsidR="00432029">
        <w:rPr>
          <w:lang w:val="en-GB"/>
        </w:rPr>
        <w:t>likelihood of being</w:t>
      </w:r>
      <w:r>
        <w:rPr>
          <w:lang w:val="en-GB"/>
        </w:rPr>
        <w:t xml:space="preserve"> “</w:t>
      </w:r>
      <w:r w:rsidR="0043711D">
        <w:rPr>
          <w:lang w:val="en-GB"/>
        </w:rPr>
        <w:t>at-risk-of-poverty</w:t>
      </w:r>
      <w:r>
        <w:rPr>
          <w:lang w:val="en-GB"/>
        </w:rPr>
        <w:t xml:space="preserve"> or social exclusion”. This can be easily carried out by a logistic regression using multiple predictors.</w:t>
      </w:r>
      <w:r w:rsidR="000F7CBA">
        <w:rPr>
          <w:lang w:val="en-GB"/>
        </w:rPr>
        <w:t xml:space="preserve"> </w:t>
      </w:r>
      <w:r w:rsidR="004727AE">
        <w:rPr>
          <w:lang w:val="en-GB"/>
        </w:rPr>
        <w:t xml:space="preserve">The advantage of formulating a model where </w:t>
      </w:r>
      <w:proofErr w:type="gramStart"/>
      <w:r w:rsidR="00D546EE">
        <w:rPr>
          <w:lang w:val="en-GB"/>
        </w:rPr>
        <w:t>AROPE</w:t>
      </w:r>
      <w:r w:rsidR="00D546EE">
        <w:rPr>
          <w:vertAlign w:val="superscript"/>
          <w:lang w:val="en-GB"/>
        </w:rPr>
        <w:t>(</w:t>
      </w:r>
      <w:proofErr w:type="gramEnd"/>
      <w:r w:rsidR="00D546EE">
        <w:rPr>
          <w:vertAlign w:val="superscript"/>
          <w:lang w:val="en-GB"/>
        </w:rPr>
        <w:t xml:space="preserve">REG) </w:t>
      </w:r>
      <w:r w:rsidR="004727AE">
        <w:rPr>
          <w:lang w:val="en-GB"/>
        </w:rPr>
        <w:t xml:space="preserve">based on register data in 2011 </w:t>
      </w:r>
      <w:r>
        <w:rPr>
          <w:lang w:val="en-GB"/>
        </w:rPr>
        <w:t>is</w:t>
      </w:r>
      <w:r w:rsidR="004727AE">
        <w:rPr>
          <w:lang w:val="en-GB"/>
        </w:rPr>
        <w:t xml:space="preserve"> the </w:t>
      </w:r>
      <w:proofErr w:type="spellStart"/>
      <w:r w:rsidR="004727AE">
        <w:rPr>
          <w:lang w:val="en-GB"/>
        </w:rPr>
        <w:t>estimand</w:t>
      </w:r>
      <w:proofErr w:type="spellEnd"/>
      <w:r w:rsidR="004727AE">
        <w:rPr>
          <w:lang w:val="en-GB"/>
        </w:rPr>
        <w:t xml:space="preserve"> is that such </w:t>
      </w:r>
      <w:r>
        <w:rPr>
          <w:lang w:val="en-GB"/>
        </w:rPr>
        <w:t xml:space="preserve">a </w:t>
      </w:r>
      <w:r w:rsidR="004727AE">
        <w:rPr>
          <w:lang w:val="en-GB"/>
        </w:rPr>
        <w:t xml:space="preserve">model </w:t>
      </w:r>
      <w:r w:rsidR="005A37E0">
        <w:rPr>
          <w:lang w:val="en-GB"/>
        </w:rPr>
        <w:t>can</w:t>
      </w:r>
      <w:r w:rsidR="004727AE">
        <w:rPr>
          <w:lang w:val="en-GB"/>
        </w:rPr>
        <w:t xml:space="preserve"> directly deliver an estimated value for these indicators. Furthermore, only</w:t>
      </w:r>
      <w:r>
        <w:rPr>
          <w:lang w:val="en-GB"/>
        </w:rPr>
        <w:t xml:space="preserve"> </w:t>
      </w:r>
      <w:r w:rsidR="00432029">
        <w:rPr>
          <w:lang w:val="en-GB"/>
        </w:rPr>
        <w:t xml:space="preserve">the likelihood of </w:t>
      </w:r>
      <w:r>
        <w:rPr>
          <w:lang w:val="en-GB"/>
        </w:rPr>
        <w:t>a</w:t>
      </w:r>
      <w:r w:rsidR="004727AE">
        <w:rPr>
          <w:lang w:val="en-GB"/>
        </w:rPr>
        <w:t xml:space="preserve"> dichotomous </w:t>
      </w:r>
      <w:r w:rsidR="000F7CBA">
        <w:rPr>
          <w:lang w:val="en-GB"/>
        </w:rPr>
        <w:t>variable</w:t>
      </w:r>
      <w:r w:rsidR="004727AE">
        <w:rPr>
          <w:lang w:val="en-GB"/>
        </w:rPr>
        <w:t xml:space="preserve"> and not an entirely new distribution of </w:t>
      </w:r>
      <w:proofErr w:type="spellStart"/>
      <w:r w:rsidR="004727AE">
        <w:rPr>
          <w:lang w:val="en-GB"/>
        </w:rPr>
        <w:t>equivalised</w:t>
      </w:r>
      <w:proofErr w:type="spellEnd"/>
      <w:r w:rsidR="004727AE">
        <w:rPr>
          <w:lang w:val="en-GB"/>
        </w:rPr>
        <w:t xml:space="preserve"> income </w:t>
      </w:r>
      <w:r w:rsidR="005A37E0">
        <w:rPr>
          <w:lang w:val="en-GB"/>
        </w:rPr>
        <w:t>has</w:t>
      </w:r>
      <w:r w:rsidR="004727AE">
        <w:rPr>
          <w:lang w:val="en-GB"/>
        </w:rPr>
        <w:t xml:space="preserve"> to</w:t>
      </w:r>
      <w:r w:rsidR="007E0D7D">
        <w:rPr>
          <w:lang w:val="en-GB"/>
        </w:rPr>
        <w:t xml:space="preserve"> be</w:t>
      </w:r>
      <w:r w:rsidR="004727AE">
        <w:rPr>
          <w:lang w:val="en-GB"/>
        </w:rPr>
        <w:t xml:space="preserve"> estimated.</w:t>
      </w:r>
      <w:r w:rsidR="00E576E6">
        <w:rPr>
          <w:lang w:val="en-GB"/>
        </w:rPr>
        <w:t xml:space="preserve"> So the dependent variable in the model based on EU</w:t>
      </w:r>
      <w:r w:rsidR="00E576E6">
        <w:rPr>
          <w:lang w:val="en-GB"/>
        </w:rPr>
        <w:noBreakHyphen/>
        <w:t xml:space="preserve">SILC 2011 </w:t>
      </w:r>
      <w:r w:rsidR="000C75E3">
        <w:rPr>
          <w:lang w:val="en-GB"/>
        </w:rPr>
        <w:t>refers</w:t>
      </w:r>
      <w:r w:rsidR="00E576E6">
        <w:rPr>
          <w:lang w:val="en-GB"/>
        </w:rPr>
        <w:t xml:space="preserve"> exactly</w:t>
      </w:r>
      <w:r w:rsidR="000C75E3">
        <w:rPr>
          <w:lang w:val="en-GB"/>
        </w:rPr>
        <w:t xml:space="preserve"> to</w:t>
      </w:r>
      <w:r w:rsidR="00E576E6">
        <w:rPr>
          <w:lang w:val="en-GB"/>
        </w:rPr>
        <w:t xml:space="preserve"> the indicator that has to be estimated for the preceding years.</w:t>
      </w:r>
      <w:r w:rsidR="00023DA2">
        <w:rPr>
          <w:lang w:val="en-GB"/>
        </w:rPr>
        <w:t xml:space="preserve"> </w:t>
      </w:r>
      <w:r w:rsidR="00B352C4">
        <w:rPr>
          <w:lang w:val="en-GB"/>
        </w:rPr>
        <w:t xml:space="preserve">Let </w:t>
      </w:r>
      <w:r w:rsidR="00B352C4" w:rsidRPr="00B352C4">
        <w:rPr>
          <w:b/>
          <w:i/>
          <w:lang w:val="en-GB"/>
        </w:rPr>
        <w:t>x</w:t>
      </w:r>
      <w:r w:rsidR="00B352C4">
        <w:rPr>
          <w:i/>
          <w:lang w:val="en-GB"/>
        </w:rPr>
        <w:t xml:space="preserve"> </w:t>
      </w:r>
      <w:r w:rsidR="00B352C4">
        <w:rPr>
          <w:lang w:val="en-GB"/>
        </w:rPr>
        <w:t xml:space="preserve">denote the vector of </w:t>
      </w:r>
      <w:r w:rsidR="00B352C4" w:rsidRPr="008B10E0">
        <w:rPr>
          <w:i/>
          <w:lang w:val="en-GB"/>
        </w:rPr>
        <w:t>J</w:t>
      </w:r>
      <w:r w:rsidR="00B352C4">
        <w:rPr>
          <w:lang w:val="en-GB"/>
        </w:rPr>
        <w:t xml:space="preserve"> explanatory variables of the </w:t>
      </w:r>
      <w:r w:rsidR="00B352C4">
        <w:rPr>
          <w:lang w:val="en-GB"/>
        </w:rPr>
        <w:lastRenderedPageBreak/>
        <w:t xml:space="preserve">likelihood that </w:t>
      </w:r>
      <w:proofErr w:type="gramStart"/>
      <w:r w:rsidR="00B352C4">
        <w:rPr>
          <w:lang w:val="en-GB"/>
        </w:rPr>
        <w:t>AROPE</w:t>
      </w:r>
      <w:r w:rsidR="00B352C4">
        <w:rPr>
          <w:vertAlign w:val="superscript"/>
          <w:lang w:val="en-GB"/>
        </w:rPr>
        <w:t>(</w:t>
      </w:r>
      <w:proofErr w:type="gramEnd"/>
      <w:r w:rsidR="00B352C4">
        <w:rPr>
          <w:vertAlign w:val="superscript"/>
          <w:lang w:val="en-GB"/>
        </w:rPr>
        <w:t xml:space="preserve">REG) </w:t>
      </w:r>
      <w:r w:rsidR="00B352C4">
        <w:rPr>
          <w:lang w:val="en-GB"/>
        </w:rPr>
        <w:t xml:space="preserve">=1 then </w:t>
      </w:r>
      <w:r w:rsidR="000F7CBA">
        <w:rPr>
          <w:lang w:val="en-GB"/>
        </w:rPr>
        <w:t xml:space="preserve">the </w:t>
      </w:r>
      <w:r w:rsidR="00B352C4">
        <w:rPr>
          <w:lang w:val="en-GB"/>
        </w:rPr>
        <w:t>model which is used to predict the likelihood of a person to be at-risk-of-poverty or social exclusion can be defined as follows:</w:t>
      </w:r>
    </w:p>
    <w:p w:rsidR="00B352C4" w:rsidRPr="008B10E0" w:rsidRDefault="00B352C4" w:rsidP="00B352C4">
      <w:pPr>
        <w:jc w:val="right"/>
        <w:rPr>
          <w:lang w:val="en-GB"/>
        </w:rPr>
      </w:pPr>
      <m:oMath>
        <m:r>
          <w:rPr>
            <w:rFonts w:ascii="Cambria Math" w:hAnsi="Cambria Math" w:cs="Arial"/>
          </w:rPr>
          <m:t>P</m:t>
        </m:r>
        <m:r>
          <w:rPr>
            <w:rFonts w:ascii="Cambria Math" w:cs="Arial"/>
            <w:lang w:val="en-GB"/>
          </w:rPr>
          <m:t>(</m:t>
        </m:r>
        <m:sSup>
          <m:sSupPr>
            <m:ctrlPr>
              <w:rPr>
                <w:rFonts w:ascii="Cambria Math" w:hAnsi="Cambria Math"/>
                <w:lang w:val="en-GB"/>
              </w:rPr>
            </m:ctrlPr>
          </m:sSupPr>
          <m:e>
            <m:r>
              <m:rPr>
                <m:sty m:val="p"/>
              </m:rPr>
              <w:rPr>
                <w:rFonts w:ascii="Cambria Math" w:hAnsi="Cambria Math"/>
                <w:lang w:val="en-GB"/>
              </w:rPr>
              <m:t>AROPE</m:t>
            </m:r>
          </m:e>
          <m:sup>
            <m:r>
              <w:rPr>
                <w:rFonts w:ascii="Cambria Math" w:hAnsi="Cambria Math"/>
                <w:lang w:val="en-GB"/>
              </w:rPr>
              <m:t>(REG)</m:t>
            </m:r>
          </m:sup>
        </m:sSup>
        <m:r>
          <m:rPr>
            <m:sty m:val="p"/>
          </m:rPr>
          <w:rPr>
            <w:rFonts w:ascii="Cambria Math" w:hAnsi="Cambria Math"/>
            <w:vertAlign w:val="superscript"/>
            <w:lang w:val="en-GB"/>
          </w:rPr>
          <m:t xml:space="preserve"> </m:t>
        </m:r>
        <m:r>
          <w:rPr>
            <w:rFonts w:ascii="Cambria Math" w:cs="Arial"/>
            <w:lang w:val="en-GB"/>
          </w:rPr>
          <m:t>=1|</m:t>
        </m:r>
        <m:r>
          <m:rPr>
            <m:sty m:val="bi"/>
          </m:rPr>
          <w:rPr>
            <w:rFonts w:ascii="Cambria Math" w:hAnsi="Cambria Math"/>
            <w:lang w:val="en-GB"/>
          </w:rPr>
          <m:t>x</m:t>
        </m:r>
        <m:r>
          <w:rPr>
            <w:rFonts w:ascii="Cambria Math" w:cs="Arial"/>
            <w:lang w:val="en-GB"/>
          </w:rPr>
          <m:t>)=</m:t>
        </m:r>
        <m:f>
          <m:fPr>
            <m:ctrlPr>
              <w:rPr>
                <w:rFonts w:ascii="Cambria Math" w:hAnsi="Cambria Math" w:cs="Arial"/>
                <w:i/>
              </w:rPr>
            </m:ctrlPr>
          </m:fPr>
          <m:num>
            <m:r>
              <w:rPr>
                <w:rFonts w:ascii="Cambria Math" w:hAnsi="Cambria Math" w:cs="Arial"/>
              </w:rPr>
              <m:t>exp</m:t>
            </m:r>
            <m:r>
              <w:rPr>
                <w:rFonts w:ascii="Cambria Math" w:hAns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cs="Arial"/>
                        <w:lang w:val="en-GB"/>
                      </w:rPr>
                      <m:t>0</m:t>
                    </m:r>
                  </m:sub>
                </m:sSub>
              </m:e>
            </m:acc>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cs="Arial"/>
                        <w:lang w:val="en-GB"/>
                      </w:rPr>
                      <m:t xml:space="preserve"> </m:t>
                    </m:r>
                    <m:r>
                      <w:rPr>
                        <w:rFonts w:ascii="Cambria Math" w:hAnsi="Cambria Math" w:cs="Arial"/>
                      </w:rPr>
                      <m:t>β</m:t>
                    </m:r>
                  </m:e>
                  <m:sub>
                    <m:r>
                      <w:rPr>
                        <w:rFonts w:ascii="Cambria Math" w:cs="Arial"/>
                        <w:lang w:val="en-GB"/>
                      </w:rPr>
                      <m:t>1</m:t>
                    </m:r>
                  </m:sub>
                </m:sSub>
              </m:e>
            </m:acc>
            <m:r>
              <w:rPr>
                <w:rFonts w:ascii="Cambria Math" w:cs="Arial"/>
                <w:lang w:val="en-GB"/>
              </w:rPr>
              <m:t xml:space="preserve"> </m:t>
            </m:r>
            <m:sSub>
              <m:sSubPr>
                <m:ctrlPr>
                  <w:rPr>
                    <w:rFonts w:ascii="Cambria Math" w:hAnsi="Cambria Math" w:cs="Arial"/>
                    <w:i/>
                  </w:rPr>
                </m:ctrlPr>
              </m:sSubPr>
              <m:e>
                <m:r>
                  <w:rPr>
                    <w:rFonts w:ascii="Cambria Math" w:hAnsi="Cambria Math" w:cs="Arial"/>
                  </w:rPr>
                  <m:t>x</m:t>
                </m:r>
              </m:e>
              <m:sub>
                <m:r>
                  <w:rPr>
                    <w:rFonts w:ascii="Cambria Math" w:cs="Arial"/>
                    <w:lang w:val="en-GB"/>
                  </w:rPr>
                  <m:t>1</m:t>
                </m:r>
              </m:sub>
            </m:sSub>
            <m:r>
              <w:rPr>
                <w:rFonts w:ascii="Cambria Math" w:cs="Arial"/>
                <w:lang w:val="en-GB"/>
              </w:rPr>
              <m:t>+</m:t>
            </m:r>
            <m:r>
              <w:rPr>
                <w:rFonts w:asci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e>
            </m:acc>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cs="Arial"/>
                <w:lang w:val="en-GB"/>
              </w:rPr>
              <m:t xml:space="preserve">) </m:t>
            </m:r>
          </m:num>
          <m:den>
            <m:r>
              <w:rPr>
                <w:rFonts w:ascii="Cambria Math" w:cs="Arial"/>
                <w:lang w:val="en-GB"/>
              </w:rPr>
              <m:t>1+</m:t>
            </m:r>
            <m:r>
              <w:rPr>
                <w:rFonts w:ascii="Cambria Math" w:hAnsi="Cambria Math" w:cs="Arial"/>
              </w:rPr>
              <m:t>exp</m:t>
            </m:r>
            <m:r>
              <w:rPr>
                <w:rFonts w:ascii="Cambria Math" w:hAns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cs="Arial"/>
                        <w:lang w:val="en-GB"/>
                      </w:rPr>
                      <m:t>0</m:t>
                    </m:r>
                  </m:sub>
                </m:sSub>
              </m:e>
            </m:acc>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cs="Arial"/>
                        <w:lang w:val="en-GB"/>
                      </w:rPr>
                      <m:t xml:space="preserve"> </m:t>
                    </m:r>
                    <m:r>
                      <w:rPr>
                        <w:rFonts w:ascii="Cambria Math" w:hAnsi="Cambria Math" w:cs="Arial"/>
                      </w:rPr>
                      <m:t>β</m:t>
                    </m:r>
                  </m:e>
                  <m:sub>
                    <m:r>
                      <w:rPr>
                        <w:rFonts w:ascii="Cambria Math" w:cs="Arial"/>
                        <w:lang w:val="en-GB"/>
                      </w:rPr>
                      <m:t>1</m:t>
                    </m:r>
                  </m:sub>
                </m:sSub>
              </m:e>
            </m:acc>
            <m:r>
              <w:rPr>
                <w:rFonts w:ascii="Cambria Math" w:cs="Arial"/>
                <w:lang w:val="en-GB"/>
              </w:rPr>
              <m:t xml:space="preserve"> </m:t>
            </m:r>
            <m:sSub>
              <m:sSubPr>
                <m:ctrlPr>
                  <w:rPr>
                    <w:rFonts w:ascii="Cambria Math" w:hAnsi="Cambria Math" w:cs="Arial"/>
                    <w:i/>
                  </w:rPr>
                </m:ctrlPr>
              </m:sSubPr>
              <m:e>
                <m:r>
                  <w:rPr>
                    <w:rFonts w:ascii="Cambria Math" w:hAnsi="Cambria Math" w:cs="Arial"/>
                  </w:rPr>
                  <m:t>x</m:t>
                </m:r>
              </m:e>
              <m:sub>
                <m:r>
                  <w:rPr>
                    <w:rFonts w:ascii="Cambria Math" w:cs="Arial"/>
                    <w:lang w:val="en-GB"/>
                  </w:rPr>
                  <m:t>1</m:t>
                </m:r>
              </m:sub>
            </m:sSub>
            <m:r>
              <w:rPr>
                <w:rFonts w:ascii="Cambria Math" w:cs="Arial"/>
                <w:lang w:val="en-GB"/>
              </w:rPr>
              <m:t>+</m:t>
            </m:r>
            <m:r>
              <w:rPr>
                <w:rFonts w:asci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e>
            </m:acc>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cs="Arial"/>
                <w:lang w:val="en-GB"/>
              </w:rPr>
              <m:t>)</m:t>
            </m:r>
          </m:den>
        </m:f>
      </m:oMath>
      <w:r w:rsidRPr="008B10E0" w:rsidDel="00D03B30">
        <w:rPr>
          <w:rFonts w:cs="Arial"/>
          <w:sz w:val="28"/>
          <w:szCs w:val="28"/>
          <w:lang w:val="en-GB"/>
        </w:rPr>
        <w:t xml:space="preserve"> </w:t>
      </w:r>
      <w:r w:rsidRPr="008B10E0">
        <w:rPr>
          <w:rFonts w:cs="Arial"/>
          <w:sz w:val="28"/>
          <w:szCs w:val="28"/>
          <w:lang w:val="en-GB"/>
        </w:rPr>
        <w:t xml:space="preserve">  </w:t>
      </w:r>
      <w:r w:rsidRPr="008B10E0">
        <w:rPr>
          <w:rFonts w:cs="Arial"/>
          <w:sz w:val="28"/>
          <w:szCs w:val="28"/>
          <w:lang w:val="en-GB"/>
        </w:rPr>
        <w:tab/>
      </w:r>
      <w:r>
        <w:rPr>
          <w:rFonts w:cs="Arial"/>
          <w:sz w:val="28"/>
          <w:szCs w:val="28"/>
          <w:lang w:val="en-GB"/>
        </w:rPr>
        <w:tab/>
      </w:r>
      <w:r w:rsidRPr="008B10E0">
        <w:rPr>
          <w:rFonts w:cs="Arial"/>
          <w:sz w:val="28"/>
          <w:szCs w:val="28"/>
          <w:lang w:val="en-GB"/>
        </w:rPr>
        <w:t xml:space="preserve">   </w:t>
      </w:r>
      <w:r w:rsidRPr="008B10E0">
        <w:rPr>
          <w:rFonts w:cs="Arial"/>
          <w:lang w:val="en-GB"/>
        </w:rPr>
        <w:t>(</w:t>
      </w:r>
      <w:bookmarkStart w:id="3" w:name="f3"/>
      <w:r w:rsidRPr="00340AE3">
        <w:rPr>
          <w:rFonts w:cs="Arial"/>
        </w:rPr>
        <w:fldChar w:fldCharType="begin"/>
      </w:r>
      <w:r w:rsidRPr="008B10E0">
        <w:rPr>
          <w:rFonts w:cs="Arial"/>
          <w:lang w:val="en-GB"/>
        </w:rPr>
        <w:instrText xml:space="preserve"> SEQ Formel \* ARABIC </w:instrText>
      </w:r>
      <w:r w:rsidRPr="00340AE3">
        <w:rPr>
          <w:rFonts w:cs="Arial"/>
        </w:rPr>
        <w:fldChar w:fldCharType="separate"/>
      </w:r>
      <w:r w:rsidR="00140CF9">
        <w:rPr>
          <w:rFonts w:cs="Arial"/>
          <w:noProof/>
          <w:lang w:val="en-GB"/>
        </w:rPr>
        <w:t>1</w:t>
      </w:r>
      <w:r w:rsidRPr="00340AE3">
        <w:rPr>
          <w:rFonts w:cs="Arial"/>
        </w:rPr>
        <w:fldChar w:fldCharType="end"/>
      </w:r>
      <w:bookmarkEnd w:id="3"/>
      <w:r w:rsidRPr="008B10E0">
        <w:rPr>
          <w:rFonts w:cs="Arial"/>
          <w:lang w:val="en-GB"/>
        </w:rPr>
        <w:t>)</w:t>
      </w:r>
    </w:p>
    <w:p w:rsidR="00B352C4" w:rsidRDefault="00B352C4" w:rsidP="00B352C4">
      <w:pPr>
        <w:rPr>
          <w:lang w:val="en-GB"/>
        </w:rPr>
      </w:pPr>
      <w:r>
        <w:rPr>
          <w:lang w:val="en-GB"/>
        </w:rPr>
        <w:t>If also the time series of AROP should be revised a separate model would be needed, defined similarly to the previous one:</w:t>
      </w:r>
    </w:p>
    <w:p w:rsidR="00B352C4" w:rsidRDefault="00B352C4" w:rsidP="00B352C4">
      <w:pPr>
        <w:jc w:val="right"/>
        <w:rPr>
          <w:rFonts w:cs="Arial"/>
          <w:sz w:val="28"/>
          <w:szCs w:val="28"/>
          <w:lang w:val="en-GB"/>
        </w:rPr>
      </w:pPr>
      <m:oMath>
        <m:r>
          <w:rPr>
            <w:rFonts w:ascii="Cambria Math" w:hAnsi="Cambria Math" w:cs="Arial"/>
          </w:rPr>
          <m:t>P</m:t>
        </m:r>
        <m:r>
          <w:rPr>
            <w:rFonts w:ascii="Cambria Math" w:cs="Arial"/>
            <w:lang w:val="en-GB"/>
          </w:rPr>
          <m:t>(</m:t>
        </m:r>
        <m:sSup>
          <m:sSupPr>
            <m:ctrlPr>
              <w:rPr>
                <w:rFonts w:ascii="Cambria Math" w:hAnsi="Cambria Math"/>
                <w:lang w:val="en-GB"/>
              </w:rPr>
            </m:ctrlPr>
          </m:sSupPr>
          <m:e>
            <m:r>
              <m:rPr>
                <m:sty m:val="p"/>
              </m:rPr>
              <w:rPr>
                <w:rFonts w:ascii="Cambria Math" w:hAnsi="Cambria Math"/>
                <w:lang w:val="en-GB"/>
              </w:rPr>
              <m:t>AROP</m:t>
            </m:r>
          </m:e>
          <m:sup>
            <m:r>
              <w:rPr>
                <w:rFonts w:ascii="Cambria Math" w:hAnsi="Cambria Math"/>
                <w:lang w:val="en-GB"/>
              </w:rPr>
              <m:t>(REG)</m:t>
            </m:r>
          </m:sup>
        </m:sSup>
        <m:r>
          <w:rPr>
            <w:rFonts w:ascii="Cambria Math" w:cs="Arial"/>
            <w:lang w:val="en-GB"/>
          </w:rPr>
          <m:t>=1|</m:t>
        </m:r>
        <m:r>
          <m:rPr>
            <m:sty m:val="bi"/>
          </m:rPr>
          <w:rPr>
            <w:rFonts w:ascii="Cambria Math" w:hAnsi="Cambria Math"/>
            <w:lang w:val="en-GB"/>
          </w:rPr>
          <m:t>x</m:t>
        </m:r>
        <m:r>
          <w:rPr>
            <w:rFonts w:ascii="Cambria Math" w:cs="Arial"/>
            <w:lang w:val="en-GB"/>
          </w:rPr>
          <m:t>)=</m:t>
        </m:r>
        <m:f>
          <m:fPr>
            <m:ctrlPr>
              <w:rPr>
                <w:rFonts w:ascii="Cambria Math" w:hAnsi="Cambria Math" w:cs="Arial"/>
                <w:i/>
              </w:rPr>
            </m:ctrlPr>
          </m:fPr>
          <m:num>
            <m:r>
              <w:rPr>
                <w:rFonts w:ascii="Cambria Math" w:hAnsi="Cambria Math" w:cs="Arial"/>
              </w:rPr>
              <m:t>exp</m:t>
            </m:r>
            <m:r>
              <w:rPr>
                <w:rFonts w:ascii="Cambria Math" w:hAns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cs="Arial"/>
                        <w:lang w:val="en-GB"/>
                      </w:rPr>
                      <m:t>0</m:t>
                    </m:r>
                  </m:sub>
                </m:sSub>
              </m:e>
            </m:acc>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cs="Arial"/>
                        <w:lang w:val="en-GB"/>
                      </w:rPr>
                      <m:t xml:space="preserve"> </m:t>
                    </m:r>
                    <m:r>
                      <w:rPr>
                        <w:rFonts w:ascii="Cambria Math" w:hAnsi="Cambria Math" w:cs="Arial"/>
                      </w:rPr>
                      <m:t>β</m:t>
                    </m:r>
                  </m:e>
                  <m:sub>
                    <m:r>
                      <w:rPr>
                        <w:rFonts w:ascii="Cambria Math" w:cs="Arial"/>
                        <w:lang w:val="en-GB"/>
                      </w:rPr>
                      <m:t>1</m:t>
                    </m:r>
                  </m:sub>
                </m:sSub>
              </m:e>
            </m:acc>
            <m:r>
              <w:rPr>
                <w:rFonts w:ascii="Cambria Math" w:cs="Arial"/>
                <w:lang w:val="en-GB"/>
              </w:rPr>
              <m:t xml:space="preserve"> </m:t>
            </m:r>
            <m:sSub>
              <m:sSubPr>
                <m:ctrlPr>
                  <w:rPr>
                    <w:rFonts w:ascii="Cambria Math" w:hAnsi="Cambria Math" w:cs="Arial"/>
                    <w:i/>
                  </w:rPr>
                </m:ctrlPr>
              </m:sSubPr>
              <m:e>
                <m:r>
                  <w:rPr>
                    <w:rFonts w:ascii="Cambria Math" w:hAnsi="Cambria Math" w:cs="Arial"/>
                  </w:rPr>
                  <m:t>x</m:t>
                </m:r>
              </m:e>
              <m:sub>
                <m:r>
                  <w:rPr>
                    <w:rFonts w:ascii="Cambria Math" w:cs="Arial"/>
                    <w:lang w:val="en-GB"/>
                  </w:rPr>
                  <m:t>1</m:t>
                </m:r>
              </m:sub>
            </m:sSub>
            <m:r>
              <w:rPr>
                <w:rFonts w:ascii="Cambria Math" w:cs="Arial"/>
                <w:lang w:val="en-GB"/>
              </w:rPr>
              <m:t>+</m:t>
            </m:r>
            <m:r>
              <w:rPr>
                <w:rFonts w:asci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e>
            </m:acc>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cs="Arial"/>
                <w:lang w:val="en-GB"/>
              </w:rPr>
              <m:t xml:space="preserve">) </m:t>
            </m:r>
          </m:num>
          <m:den>
            <m:r>
              <w:rPr>
                <w:rFonts w:ascii="Cambria Math" w:cs="Arial"/>
                <w:lang w:val="en-GB"/>
              </w:rPr>
              <m:t>1+</m:t>
            </m:r>
            <m:r>
              <w:rPr>
                <w:rFonts w:ascii="Cambria Math" w:hAnsi="Cambria Math" w:cs="Arial"/>
              </w:rPr>
              <m:t>exp</m:t>
            </m:r>
            <m:r>
              <w:rPr>
                <w:rFonts w:ascii="Cambria Math" w:hAns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cs="Arial"/>
                        <w:lang w:val="en-GB"/>
                      </w:rPr>
                      <m:t>0</m:t>
                    </m:r>
                  </m:sub>
                </m:sSub>
              </m:e>
            </m:acc>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cs="Arial"/>
                        <w:lang w:val="en-GB"/>
                      </w:rPr>
                      <m:t xml:space="preserve"> </m:t>
                    </m:r>
                    <m:r>
                      <w:rPr>
                        <w:rFonts w:ascii="Cambria Math" w:hAnsi="Cambria Math" w:cs="Arial"/>
                      </w:rPr>
                      <m:t>β</m:t>
                    </m:r>
                  </m:e>
                  <m:sub>
                    <m:r>
                      <w:rPr>
                        <w:rFonts w:ascii="Cambria Math" w:cs="Arial"/>
                        <w:lang w:val="en-GB"/>
                      </w:rPr>
                      <m:t>1</m:t>
                    </m:r>
                  </m:sub>
                </m:sSub>
              </m:e>
            </m:acc>
            <m:r>
              <w:rPr>
                <w:rFonts w:ascii="Cambria Math" w:cs="Arial"/>
                <w:lang w:val="en-GB"/>
              </w:rPr>
              <m:t xml:space="preserve"> </m:t>
            </m:r>
            <m:sSub>
              <m:sSubPr>
                <m:ctrlPr>
                  <w:rPr>
                    <w:rFonts w:ascii="Cambria Math" w:hAnsi="Cambria Math" w:cs="Arial"/>
                    <w:i/>
                  </w:rPr>
                </m:ctrlPr>
              </m:sSubPr>
              <m:e>
                <m:r>
                  <w:rPr>
                    <w:rFonts w:ascii="Cambria Math" w:hAnsi="Cambria Math" w:cs="Arial"/>
                  </w:rPr>
                  <m:t>x</m:t>
                </m:r>
              </m:e>
              <m:sub>
                <m:r>
                  <w:rPr>
                    <w:rFonts w:ascii="Cambria Math" w:cs="Arial"/>
                    <w:lang w:val="en-GB"/>
                  </w:rPr>
                  <m:t>1</m:t>
                </m:r>
              </m:sub>
            </m:sSub>
            <m:r>
              <w:rPr>
                <w:rFonts w:ascii="Cambria Math" w:cs="Arial"/>
                <w:lang w:val="en-GB"/>
              </w:rPr>
              <m:t>+</m:t>
            </m:r>
            <m:r>
              <w:rPr>
                <w:rFonts w:asci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e>
            </m:acc>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cs="Arial"/>
                <w:lang w:val="en-GB"/>
              </w:rPr>
              <m:t>)</m:t>
            </m:r>
          </m:den>
        </m:f>
      </m:oMath>
      <w:r w:rsidRPr="008B10E0" w:rsidDel="00D03B30">
        <w:rPr>
          <w:rFonts w:cs="Arial"/>
          <w:sz w:val="28"/>
          <w:szCs w:val="28"/>
          <w:lang w:val="en-GB"/>
        </w:rPr>
        <w:t xml:space="preserve"> </w:t>
      </w:r>
      <w:r w:rsidRPr="008B10E0">
        <w:rPr>
          <w:rFonts w:cs="Arial"/>
          <w:sz w:val="28"/>
          <w:szCs w:val="28"/>
          <w:lang w:val="en-GB"/>
        </w:rPr>
        <w:t xml:space="preserve">  </w:t>
      </w:r>
      <w:r w:rsidRPr="008B10E0">
        <w:rPr>
          <w:rFonts w:cs="Arial"/>
          <w:sz w:val="28"/>
          <w:szCs w:val="28"/>
          <w:lang w:val="en-GB"/>
        </w:rPr>
        <w:tab/>
      </w:r>
      <w:r>
        <w:rPr>
          <w:rFonts w:cs="Arial"/>
          <w:sz w:val="28"/>
          <w:szCs w:val="28"/>
          <w:lang w:val="en-GB"/>
        </w:rPr>
        <w:tab/>
      </w:r>
      <w:r>
        <w:rPr>
          <w:rFonts w:cs="Arial"/>
          <w:sz w:val="28"/>
          <w:szCs w:val="28"/>
          <w:lang w:val="en-GB"/>
        </w:rPr>
        <w:tab/>
      </w:r>
      <w:r w:rsidRPr="008B10E0">
        <w:rPr>
          <w:rFonts w:cs="Arial"/>
          <w:lang w:val="en-GB"/>
        </w:rPr>
        <w:t>(</w:t>
      </w:r>
      <w:r w:rsidRPr="00340AE3">
        <w:rPr>
          <w:rFonts w:cs="Arial"/>
        </w:rPr>
        <w:fldChar w:fldCharType="begin"/>
      </w:r>
      <w:r w:rsidRPr="008B10E0">
        <w:rPr>
          <w:rFonts w:cs="Arial"/>
          <w:lang w:val="en-GB"/>
        </w:rPr>
        <w:instrText xml:space="preserve"> SEQ Formel \* ARABIC </w:instrText>
      </w:r>
      <w:r w:rsidRPr="00340AE3">
        <w:rPr>
          <w:rFonts w:cs="Arial"/>
        </w:rPr>
        <w:fldChar w:fldCharType="separate"/>
      </w:r>
      <w:r w:rsidR="00140CF9">
        <w:rPr>
          <w:rFonts w:cs="Arial"/>
          <w:noProof/>
          <w:lang w:val="en-GB"/>
        </w:rPr>
        <w:t>2</w:t>
      </w:r>
      <w:r w:rsidRPr="00340AE3">
        <w:rPr>
          <w:rFonts w:cs="Arial"/>
        </w:rPr>
        <w:fldChar w:fldCharType="end"/>
      </w:r>
      <w:r w:rsidRPr="008B10E0">
        <w:rPr>
          <w:rFonts w:cs="Arial"/>
          <w:lang w:val="en-GB"/>
        </w:rPr>
        <w:t>)</w:t>
      </w:r>
    </w:p>
    <w:p w:rsidR="007A5979" w:rsidRDefault="005D3500" w:rsidP="007A5979">
      <w:pPr>
        <w:rPr>
          <w:lang w:val="en-GB"/>
        </w:rPr>
      </w:pPr>
      <w:r>
        <w:rPr>
          <w:lang w:val="en-GB"/>
        </w:rPr>
        <w:t>Depending on how well this different model</w:t>
      </w:r>
      <w:r w:rsidR="000F7CBA">
        <w:rPr>
          <w:lang w:val="en-GB"/>
        </w:rPr>
        <w:t>s</w:t>
      </w:r>
      <w:r>
        <w:rPr>
          <w:lang w:val="en-GB"/>
        </w:rPr>
        <w:t xml:space="preserve"> </w:t>
      </w:r>
      <w:r w:rsidR="000F7CBA">
        <w:rPr>
          <w:lang w:val="en-GB"/>
        </w:rPr>
        <w:t>are</w:t>
      </w:r>
      <w:r>
        <w:rPr>
          <w:lang w:val="en-GB"/>
        </w:rPr>
        <w:t xml:space="preserve"> formulated and how good its fit turns out discrepancies and inconsistencies between </w:t>
      </w:r>
      <w:proofErr w:type="gramStart"/>
      <w:r w:rsidR="00D546EE">
        <w:rPr>
          <w:lang w:val="en-GB"/>
        </w:rPr>
        <w:t>AROP</w:t>
      </w:r>
      <w:r w:rsidR="00D546EE">
        <w:rPr>
          <w:vertAlign w:val="superscript"/>
          <w:lang w:val="en-GB"/>
        </w:rPr>
        <w:t>(</w:t>
      </w:r>
      <w:proofErr w:type="gramEnd"/>
      <w:r w:rsidR="00D546EE">
        <w:rPr>
          <w:vertAlign w:val="superscript"/>
          <w:lang w:val="en-GB"/>
        </w:rPr>
        <w:t xml:space="preserve">REG) </w:t>
      </w:r>
      <w:r>
        <w:rPr>
          <w:lang w:val="en-GB"/>
        </w:rPr>
        <w:t xml:space="preserve">and </w:t>
      </w:r>
      <w:r w:rsidR="00D546EE">
        <w:rPr>
          <w:lang w:val="en-GB"/>
        </w:rPr>
        <w:t>AROPE</w:t>
      </w:r>
      <w:r w:rsidR="00D546EE">
        <w:rPr>
          <w:vertAlign w:val="superscript"/>
          <w:lang w:val="en-GB"/>
        </w:rPr>
        <w:t xml:space="preserve">(REG) </w:t>
      </w:r>
      <w:r>
        <w:rPr>
          <w:lang w:val="en-GB"/>
        </w:rPr>
        <w:t xml:space="preserve">can arise. For example, the rate of </w:t>
      </w:r>
      <w:proofErr w:type="gramStart"/>
      <w:r w:rsidR="00D546EE">
        <w:rPr>
          <w:lang w:val="en-GB"/>
        </w:rPr>
        <w:t>AROP</w:t>
      </w:r>
      <w:r w:rsidR="00D546EE">
        <w:rPr>
          <w:vertAlign w:val="superscript"/>
          <w:lang w:val="en-GB"/>
        </w:rPr>
        <w:t>(</w:t>
      </w:r>
      <w:proofErr w:type="gramEnd"/>
      <w:r w:rsidR="00D546EE">
        <w:rPr>
          <w:vertAlign w:val="superscript"/>
          <w:lang w:val="en-GB"/>
        </w:rPr>
        <w:t xml:space="preserve">REG) </w:t>
      </w:r>
      <w:r>
        <w:rPr>
          <w:lang w:val="en-GB"/>
        </w:rPr>
        <w:t xml:space="preserve">cannot be smaller than </w:t>
      </w:r>
      <w:r w:rsidR="00D546EE">
        <w:rPr>
          <w:lang w:val="en-GB"/>
        </w:rPr>
        <w:t>AROPE</w:t>
      </w:r>
      <w:r w:rsidR="00D546EE">
        <w:rPr>
          <w:vertAlign w:val="superscript"/>
          <w:lang w:val="en-GB"/>
        </w:rPr>
        <w:t xml:space="preserve">(REG) </w:t>
      </w:r>
      <w:r>
        <w:rPr>
          <w:lang w:val="en-GB"/>
        </w:rPr>
        <w:t xml:space="preserve">by definition, but such an outcome is possible if the likelihoods of </w:t>
      </w:r>
      <w:r w:rsidR="00D546EE">
        <w:rPr>
          <w:lang w:val="en-GB"/>
        </w:rPr>
        <w:t>AROP</w:t>
      </w:r>
      <w:r w:rsidR="00D546EE">
        <w:rPr>
          <w:vertAlign w:val="superscript"/>
          <w:lang w:val="en-GB"/>
        </w:rPr>
        <w:t xml:space="preserve">(REG) </w:t>
      </w:r>
      <w:r>
        <w:rPr>
          <w:lang w:val="en-GB"/>
        </w:rPr>
        <w:t xml:space="preserve">and </w:t>
      </w:r>
      <w:r w:rsidR="00D546EE">
        <w:rPr>
          <w:lang w:val="en-GB"/>
        </w:rPr>
        <w:t>AROPE</w:t>
      </w:r>
      <w:r w:rsidR="00D546EE">
        <w:rPr>
          <w:vertAlign w:val="superscript"/>
          <w:lang w:val="en-GB"/>
        </w:rPr>
        <w:t xml:space="preserve">(REG) </w:t>
      </w:r>
      <w:r>
        <w:rPr>
          <w:lang w:val="en-GB"/>
        </w:rPr>
        <w:t>are estimated separately.</w:t>
      </w:r>
      <w:r w:rsidR="000F7CBA">
        <w:rPr>
          <w:lang w:val="en-GB"/>
        </w:rPr>
        <w:t xml:space="preserve"> </w:t>
      </w:r>
      <w:r w:rsidR="00303EF0">
        <w:rPr>
          <w:lang w:val="en-GB"/>
        </w:rPr>
        <w:t xml:space="preserve">A </w:t>
      </w:r>
      <w:r w:rsidR="00D546EE">
        <w:rPr>
          <w:lang w:val="en-GB"/>
        </w:rPr>
        <w:t>large</w:t>
      </w:r>
      <w:r w:rsidR="00303EF0">
        <w:rPr>
          <w:lang w:val="en-GB"/>
        </w:rPr>
        <w:t xml:space="preserve"> variety of explanatory variables </w:t>
      </w:r>
      <w:proofErr w:type="spellStart"/>
      <w:r w:rsidR="00CC45D7">
        <w:rPr>
          <w:i/>
          <w:lang w:val="en-GB"/>
        </w:rPr>
        <w:t>x</w:t>
      </w:r>
      <w:r w:rsidR="00303EF0" w:rsidRPr="00E2732E">
        <w:rPr>
          <w:i/>
          <w:vertAlign w:val="subscript"/>
          <w:lang w:val="en-GB"/>
        </w:rPr>
        <w:t>j</w:t>
      </w:r>
      <w:proofErr w:type="spellEnd"/>
      <w:r w:rsidR="00303EF0">
        <w:rPr>
          <w:vertAlign w:val="subscript"/>
          <w:lang w:val="en-GB"/>
        </w:rPr>
        <w:t xml:space="preserve"> </w:t>
      </w:r>
      <w:r w:rsidR="00303EF0" w:rsidRPr="008B10E0">
        <w:rPr>
          <w:vertAlign w:val="subscript"/>
          <w:lang w:val="en-GB"/>
        </w:rPr>
        <w:t>[</w:t>
      </w:r>
      <w:r w:rsidR="00303EF0">
        <w:rPr>
          <w:i/>
          <w:vertAlign w:val="subscript"/>
          <w:lang w:val="en-GB"/>
        </w:rPr>
        <w:t>j</w:t>
      </w:r>
      <w:r w:rsidR="00303EF0" w:rsidRPr="008B10E0">
        <w:rPr>
          <w:vertAlign w:val="subscript"/>
          <w:lang w:val="en-GB"/>
        </w:rPr>
        <w:t>=</w:t>
      </w:r>
      <w:r w:rsidR="00303EF0">
        <w:rPr>
          <w:vertAlign w:val="subscript"/>
          <w:lang w:val="en-GB"/>
        </w:rPr>
        <w:t>1</w:t>
      </w:r>
      <w:r w:rsidR="00303EF0" w:rsidRPr="008B10E0">
        <w:rPr>
          <w:vertAlign w:val="subscript"/>
          <w:lang w:val="en-GB"/>
        </w:rPr>
        <w:t xml:space="preserve">, </w:t>
      </w:r>
      <w:proofErr w:type="gramStart"/>
      <w:r w:rsidR="00303EF0" w:rsidRPr="008B10E0">
        <w:rPr>
          <w:vertAlign w:val="subscript"/>
          <w:lang w:val="en-GB"/>
        </w:rPr>
        <w:t>… ,</w:t>
      </w:r>
      <w:proofErr w:type="gramEnd"/>
      <w:r w:rsidR="00303EF0" w:rsidRPr="008B10E0">
        <w:rPr>
          <w:vertAlign w:val="subscript"/>
          <w:lang w:val="en-GB"/>
        </w:rPr>
        <w:t xml:space="preserve"> J]</w:t>
      </w:r>
      <w:r w:rsidR="00303EF0">
        <w:rPr>
          <w:lang w:val="en-GB"/>
        </w:rPr>
        <w:t xml:space="preserve"> which are related to </w:t>
      </w:r>
      <w:r w:rsidR="00D546EE">
        <w:rPr>
          <w:lang w:val="en-GB"/>
        </w:rPr>
        <w:t>AROPE</w:t>
      </w:r>
      <w:r w:rsidR="00D546EE">
        <w:rPr>
          <w:vertAlign w:val="superscript"/>
          <w:lang w:val="en-GB"/>
        </w:rPr>
        <w:t xml:space="preserve">(REG) </w:t>
      </w:r>
      <w:r>
        <w:rPr>
          <w:lang w:val="en-GB"/>
        </w:rPr>
        <w:t xml:space="preserve">or </w:t>
      </w:r>
      <w:r w:rsidR="00D546EE">
        <w:rPr>
          <w:lang w:val="en-GB"/>
        </w:rPr>
        <w:t>AROP</w:t>
      </w:r>
      <w:r w:rsidR="00D546EE">
        <w:rPr>
          <w:vertAlign w:val="superscript"/>
          <w:lang w:val="en-GB"/>
        </w:rPr>
        <w:t xml:space="preserve">(REG) </w:t>
      </w:r>
      <w:r w:rsidR="00303EF0">
        <w:rPr>
          <w:lang w:val="en-GB"/>
        </w:rPr>
        <w:t>were put into the model</w:t>
      </w:r>
      <w:r>
        <w:rPr>
          <w:lang w:val="en-GB"/>
        </w:rPr>
        <w:t>s described in formulas (1) and (2). T</w:t>
      </w:r>
      <w:r w:rsidR="005A37E0">
        <w:rPr>
          <w:lang w:val="en-GB"/>
        </w:rPr>
        <w:t xml:space="preserve">he selection of the </w:t>
      </w:r>
      <w:r w:rsidR="0000649D">
        <w:rPr>
          <w:lang w:val="en-GB"/>
        </w:rPr>
        <w:t xml:space="preserve">explanatory </w:t>
      </w:r>
      <w:r w:rsidR="005A37E0">
        <w:rPr>
          <w:lang w:val="en-GB"/>
        </w:rPr>
        <w:t>variables for the model was carried out by a stepwise procedure</w:t>
      </w:r>
      <w:r w:rsidR="0000649D">
        <w:rPr>
          <w:lang w:val="en-GB"/>
        </w:rPr>
        <w:t xml:space="preserve"> in order to exclude insignificant explanatory variables.</w:t>
      </w:r>
      <w:r w:rsidR="0000649D">
        <w:rPr>
          <w:rStyle w:val="FootnoteReference"/>
          <w:lang w:val="en-GB"/>
        </w:rPr>
        <w:footnoteReference w:id="6"/>
      </w:r>
      <w:r w:rsidR="00303EF0">
        <w:rPr>
          <w:lang w:val="en-GB"/>
        </w:rPr>
        <w:t xml:space="preserve"> </w:t>
      </w:r>
      <w:r w:rsidR="00AE0C0D">
        <w:rPr>
          <w:lang w:val="en-GB"/>
        </w:rPr>
        <w:t>The reason for using a</w:t>
      </w:r>
      <w:r w:rsidR="00371079">
        <w:rPr>
          <w:lang w:val="en-GB"/>
        </w:rPr>
        <w:t>n</w:t>
      </w:r>
      <w:r w:rsidR="00AE0C0D">
        <w:rPr>
          <w:lang w:val="en-GB"/>
        </w:rPr>
        <w:t xml:space="preserve"> automatized procedure of variable selection is based on the fact that the important outcome of the model are the predicted indicators which should be estimated by a limited amount of the best predictors available. </w:t>
      </w:r>
      <w:r w:rsidR="00303EF0">
        <w:rPr>
          <w:lang w:val="en-GB"/>
        </w:rPr>
        <w:t>The fit of the model</w:t>
      </w:r>
      <w:r>
        <w:rPr>
          <w:lang w:val="en-GB"/>
        </w:rPr>
        <w:t xml:space="preserve"> for </w:t>
      </w:r>
      <w:proofErr w:type="gramStart"/>
      <w:r w:rsidR="00D546EE" w:rsidRPr="007A5979">
        <w:rPr>
          <w:lang w:val="en-GB"/>
        </w:rPr>
        <w:t>AROPE</w:t>
      </w:r>
      <w:r w:rsidR="00D546EE" w:rsidRPr="007A5979">
        <w:rPr>
          <w:vertAlign w:val="superscript"/>
          <w:lang w:val="en-GB"/>
        </w:rPr>
        <w:t>(</w:t>
      </w:r>
      <w:proofErr w:type="gramEnd"/>
      <w:r w:rsidR="00D546EE" w:rsidRPr="007A5979">
        <w:rPr>
          <w:vertAlign w:val="superscript"/>
          <w:lang w:val="en-GB"/>
        </w:rPr>
        <w:t>REG)</w:t>
      </w:r>
      <w:r w:rsidR="00D546EE">
        <w:rPr>
          <w:vertAlign w:val="superscript"/>
          <w:lang w:val="en-GB"/>
        </w:rPr>
        <w:t xml:space="preserve"> </w:t>
      </w:r>
      <w:r w:rsidR="00855557">
        <w:rPr>
          <w:lang w:val="en-GB"/>
        </w:rPr>
        <w:t>resulted in a moderate value</w:t>
      </w:r>
      <w:r w:rsidR="00303EF0">
        <w:rPr>
          <w:lang w:val="en-GB"/>
        </w:rPr>
        <w:t xml:space="preserve"> </w:t>
      </w:r>
      <w:r w:rsidR="00855557">
        <w:rPr>
          <w:lang w:val="en-GB"/>
        </w:rPr>
        <w:t>of</w:t>
      </w:r>
      <w:r w:rsidR="00303EF0">
        <w:rPr>
          <w:lang w:val="en-GB"/>
        </w:rPr>
        <w:t xml:space="preserve"> </w:t>
      </w:r>
      <w:proofErr w:type="spellStart"/>
      <w:r w:rsidR="00303EF0">
        <w:rPr>
          <w:lang w:val="en-GB"/>
        </w:rPr>
        <w:t>Nagelkerke’s</w:t>
      </w:r>
      <w:proofErr w:type="spellEnd"/>
      <w:r w:rsidR="00303EF0">
        <w:rPr>
          <w:lang w:val="en-GB"/>
        </w:rPr>
        <w:t xml:space="preserve"> pseudo r-square amounting to 0.44</w:t>
      </w:r>
      <w:r>
        <w:rPr>
          <w:lang w:val="en-GB"/>
        </w:rPr>
        <w:t xml:space="preserve"> and a highly significant chi-square value (α&lt;0.01) for the model</w:t>
      </w:r>
      <w:r w:rsidR="00303EF0">
        <w:rPr>
          <w:lang w:val="en-GB"/>
        </w:rPr>
        <w:t>.</w:t>
      </w:r>
      <w:r>
        <w:rPr>
          <w:lang w:val="en-GB"/>
        </w:rPr>
        <w:t xml:space="preserve"> However, only </w:t>
      </w:r>
      <w:r w:rsidR="00D546EE">
        <w:rPr>
          <w:lang w:val="en-GB"/>
        </w:rPr>
        <w:t>AROP</w:t>
      </w:r>
      <w:r w:rsidR="00D546EE">
        <w:rPr>
          <w:vertAlign w:val="superscript"/>
          <w:lang w:val="en-GB"/>
        </w:rPr>
        <w:t xml:space="preserve"> </w:t>
      </w:r>
      <w:r>
        <w:rPr>
          <w:lang w:val="en-GB"/>
        </w:rPr>
        <w:t>based on survey data turned out to be a significant explanatory variable and remained in the model.</w:t>
      </w:r>
      <w:r w:rsidR="00D546EE">
        <w:rPr>
          <w:lang w:val="en-GB"/>
        </w:rPr>
        <w:t xml:space="preserve"> For t</w:t>
      </w:r>
      <w:r>
        <w:rPr>
          <w:lang w:val="en-GB"/>
        </w:rPr>
        <w:t xml:space="preserve">he separate estimation of </w:t>
      </w:r>
      <w:proofErr w:type="gramStart"/>
      <w:r w:rsidR="00D546EE">
        <w:rPr>
          <w:lang w:val="en-GB"/>
        </w:rPr>
        <w:t>AROP</w:t>
      </w:r>
      <w:r w:rsidR="00D546EE">
        <w:rPr>
          <w:vertAlign w:val="superscript"/>
          <w:lang w:val="en-GB"/>
        </w:rPr>
        <w:t>(</w:t>
      </w:r>
      <w:proofErr w:type="gramEnd"/>
      <w:r w:rsidR="00D546EE">
        <w:rPr>
          <w:vertAlign w:val="superscript"/>
          <w:lang w:val="en-GB"/>
        </w:rPr>
        <w:t>REG)</w:t>
      </w:r>
      <w:r w:rsidR="00D546EE">
        <w:rPr>
          <w:lang w:val="en-GB"/>
        </w:rPr>
        <w:t xml:space="preserve"> a </w:t>
      </w:r>
      <w:r w:rsidR="00AE0C0D">
        <w:rPr>
          <w:lang w:val="en-GB"/>
        </w:rPr>
        <w:t xml:space="preserve">better fit was obtained with </w:t>
      </w:r>
      <w:r w:rsidR="00855557">
        <w:rPr>
          <w:lang w:val="en-GB"/>
        </w:rPr>
        <w:t xml:space="preserve">a </w:t>
      </w:r>
      <w:r w:rsidR="00AE0C0D">
        <w:rPr>
          <w:lang w:val="en-GB"/>
        </w:rPr>
        <w:t>pseudo r-</w:t>
      </w:r>
      <w:proofErr w:type="spellStart"/>
      <w:r w:rsidR="00AE0C0D">
        <w:rPr>
          <w:lang w:val="en-GB"/>
        </w:rPr>
        <w:t>quare</w:t>
      </w:r>
      <w:proofErr w:type="spellEnd"/>
      <w:r w:rsidR="00AE0C0D">
        <w:rPr>
          <w:lang w:val="en-GB"/>
        </w:rPr>
        <w:t xml:space="preserve"> of 0.62 and also a highly significant chi-square value for the model.</w:t>
      </w:r>
      <w:r w:rsidR="002741D5">
        <w:rPr>
          <w:lang w:val="en-GB"/>
        </w:rPr>
        <w:t xml:space="preserve"> </w:t>
      </w:r>
      <w:r w:rsidR="00AE0C0D">
        <w:rPr>
          <w:lang w:val="en-GB"/>
        </w:rPr>
        <w:t>I</w:t>
      </w:r>
      <w:r w:rsidR="00D546EE">
        <w:rPr>
          <w:lang w:val="en-GB"/>
        </w:rPr>
        <w:t xml:space="preserve">nstead of one explanatory variable </w:t>
      </w:r>
      <w:r w:rsidR="00AE0C0D">
        <w:rPr>
          <w:lang w:val="en-GB"/>
        </w:rPr>
        <w:t>42</w:t>
      </w:r>
      <w:r w:rsidR="00D546EE">
        <w:rPr>
          <w:lang w:val="en-GB"/>
        </w:rPr>
        <w:t xml:space="preserve"> </w:t>
      </w:r>
      <w:r w:rsidR="00855557">
        <w:rPr>
          <w:lang w:val="en-GB"/>
        </w:rPr>
        <w:t>predictors</w:t>
      </w:r>
      <w:r w:rsidR="00D546EE">
        <w:rPr>
          <w:lang w:val="en-GB"/>
        </w:rPr>
        <w:t xml:space="preserve"> remained in the model</w:t>
      </w:r>
      <w:r w:rsidR="00AE0C0D">
        <w:rPr>
          <w:lang w:val="en-GB"/>
        </w:rPr>
        <w:t xml:space="preserve"> this time</w:t>
      </w:r>
      <w:r w:rsidR="00D546EE">
        <w:rPr>
          <w:lang w:val="en-GB"/>
        </w:rPr>
        <w:t>.</w:t>
      </w:r>
      <w:r w:rsidR="00AE0C0D">
        <w:rPr>
          <w:lang w:val="en-GB"/>
        </w:rPr>
        <w:t xml:space="preserve"> </w:t>
      </w:r>
      <w:r w:rsidR="007A5979">
        <w:rPr>
          <w:lang w:val="en-GB"/>
        </w:rPr>
        <w:t xml:space="preserve">Despite the not very good fit of the logistic regression models the estimated values resulted in an underestimation of </w:t>
      </w:r>
      <w:proofErr w:type="gramStart"/>
      <w:r w:rsidR="007A5979" w:rsidRPr="007A5979">
        <w:rPr>
          <w:lang w:val="en-GB"/>
        </w:rPr>
        <w:t>AROPE</w:t>
      </w:r>
      <w:r w:rsidR="007A5979" w:rsidRPr="007A5979">
        <w:rPr>
          <w:vertAlign w:val="superscript"/>
          <w:lang w:val="en-GB"/>
        </w:rPr>
        <w:t>(</w:t>
      </w:r>
      <w:proofErr w:type="gramEnd"/>
      <w:r w:rsidR="007A5979" w:rsidRPr="007A5979">
        <w:rPr>
          <w:vertAlign w:val="superscript"/>
          <w:lang w:val="en-GB"/>
        </w:rPr>
        <w:t>REG)</w:t>
      </w:r>
      <w:r w:rsidR="007A5979">
        <w:rPr>
          <w:lang w:val="en-GB"/>
        </w:rPr>
        <w:t xml:space="preserve"> and </w:t>
      </w:r>
      <w:r w:rsidR="007A5979" w:rsidRPr="007A5979">
        <w:rPr>
          <w:lang w:val="en-GB"/>
        </w:rPr>
        <w:t>AROP</w:t>
      </w:r>
      <w:r w:rsidR="007A5979" w:rsidRPr="007A5979">
        <w:rPr>
          <w:vertAlign w:val="superscript"/>
          <w:lang w:val="en-GB"/>
        </w:rPr>
        <w:t>(REG)</w:t>
      </w:r>
      <w:r w:rsidR="007A5979">
        <w:rPr>
          <w:lang w:val="en-GB"/>
        </w:rPr>
        <w:t xml:space="preserve"> for 2011 as can be seen in </w:t>
      </w:r>
      <w:r w:rsidR="00A338A8">
        <w:rPr>
          <w:lang w:val="en-GB"/>
        </w:rPr>
        <w:t>table 1</w:t>
      </w:r>
      <w:r w:rsidR="007A5979">
        <w:rPr>
          <w:lang w:val="en-GB"/>
        </w:rPr>
        <w:t xml:space="preserve">. The estimate of the rate of </w:t>
      </w:r>
      <w:proofErr w:type="gramStart"/>
      <w:r w:rsidR="007A5979" w:rsidRPr="007A5979">
        <w:rPr>
          <w:lang w:val="en-GB"/>
        </w:rPr>
        <w:t>AROPE</w:t>
      </w:r>
      <w:r w:rsidR="007A5979" w:rsidRPr="007A5979">
        <w:rPr>
          <w:vertAlign w:val="superscript"/>
          <w:lang w:val="en-GB"/>
        </w:rPr>
        <w:t>(</w:t>
      </w:r>
      <w:proofErr w:type="gramEnd"/>
      <w:r w:rsidR="007A5979" w:rsidRPr="007A5979">
        <w:rPr>
          <w:vertAlign w:val="superscript"/>
          <w:lang w:val="en-GB"/>
        </w:rPr>
        <w:t>REG)</w:t>
      </w:r>
      <w:r w:rsidR="007A5979">
        <w:rPr>
          <w:lang w:val="en-GB"/>
        </w:rPr>
        <w:t xml:space="preserve"> and </w:t>
      </w:r>
      <w:r w:rsidR="007A5979" w:rsidRPr="007A5979">
        <w:rPr>
          <w:lang w:val="en-GB"/>
        </w:rPr>
        <w:t>AROP</w:t>
      </w:r>
      <w:r w:rsidR="007A5979" w:rsidRPr="007A5979">
        <w:rPr>
          <w:vertAlign w:val="superscript"/>
          <w:lang w:val="en-GB"/>
        </w:rPr>
        <w:t>(REG)</w:t>
      </w:r>
      <w:r w:rsidR="007A5979">
        <w:rPr>
          <w:lang w:val="en-GB"/>
        </w:rPr>
        <w:t xml:space="preserve"> is calculated as the mean value of all individual estimated probabilities from the logistic regression models weighted by the household weight.</w:t>
      </w:r>
    </w:p>
    <w:p w:rsidR="007A5979" w:rsidRPr="003A298E" w:rsidRDefault="007A5979" w:rsidP="007A5979">
      <w:pPr>
        <w:pStyle w:val="Caption"/>
        <w:keepNext/>
        <w:keepLines/>
        <w:rPr>
          <w:lang w:val="en-GB"/>
        </w:rPr>
      </w:pPr>
      <w:bookmarkStart w:id="4" w:name="_Ref388459978"/>
      <w:r w:rsidRPr="003A298E">
        <w:rPr>
          <w:lang w:val="en-GB"/>
        </w:rPr>
        <w:t xml:space="preserve">Table </w:t>
      </w:r>
      <w:r>
        <w:fldChar w:fldCharType="begin"/>
      </w:r>
      <w:r w:rsidRPr="003A298E">
        <w:rPr>
          <w:lang w:val="en-GB"/>
        </w:rPr>
        <w:instrText xml:space="preserve"> SEQ Table \* ARABIC </w:instrText>
      </w:r>
      <w:r>
        <w:fldChar w:fldCharType="separate"/>
      </w:r>
      <w:r w:rsidR="00140CF9">
        <w:rPr>
          <w:noProof/>
          <w:lang w:val="en-GB"/>
        </w:rPr>
        <w:t>1</w:t>
      </w:r>
      <w:r>
        <w:fldChar w:fldCharType="end"/>
      </w:r>
      <w:bookmarkEnd w:id="4"/>
      <w:r w:rsidRPr="003A298E">
        <w:rPr>
          <w:lang w:val="en-GB"/>
        </w:rPr>
        <w:t xml:space="preserve">: </w:t>
      </w:r>
      <w:r w:rsidR="0043576B">
        <w:rPr>
          <w:lang w:val="en-GB"/>
        </w:rPr>
        <w:t>Compar</w:t>
      </w:r>
      <w:r w:rsidR="00FB694A">
        <w:rPr>
          <w:lang w:val="en-GB"/>
        </w:rPr>
        <w:t>ison of model based estimates (v</w:t>
      </w:r>
      <w:r w:rsidR="0043576B">
        <w:rPr>
          <w:lang w:val="en-GB"/>
        </w:rPr>
        <w:t xml:space="preserve">ariant </w:t>
      </w:r>
      <w:r w:rsidR="00FB694A">
        <w:rPr>
          <w:lang w:val="en-GB"/>
        </w:rPr>
        <w:t>1</w:t>
      </w:r>
      <w:r w:rsidR="0043576B">
        <w:rPr>
          <w:lang w:val="en-GB"/>
        </w:rPr>
        <w:t>)</w:t>
      </w:r>
    </w:p>
    <w:p w:rsidR="00855557" w:rsidRPr="007A5979" w:rsidRDefault="00D56A7D" w:rsidP="009B2097">
      <w:pPr>
        <w:rPr>
          <w:lang w:val="en-GB"/>
        </w:rPr>
      </w:pPr>
      <w:r w:rsidRPr="00D56A7D">
        <w:rPr>
          <w:noProof/>
          <w:lang w:val="en-US" w:eastAsia="en-US"/>
        </w:rPr>
        <w:drawing>
          <wp:inline distT="0" distB="0" distL="0" distR="0">
            <wp:extent cx="2820670" cy="854075"/>
            <wp:effectExtent l="0" t="0" r="0" b="317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670" cy="854075"/>
                    </a:xfrm>
                    <a:prstGeom prst="rect">
                      <a:avLst/>
                    </a:prstGeom>
                    <a:noFill/>
                    <a:ln>
                      <a:noFill/>
                    </a:ln>
                  </pic:spPr>
                </pic:pic>
              </a:graphicData>
            </a:graphic>
          </wp:inline>
        </w:drawing>
      </w:r>
    </w:p>
    <w:p w:rsidR="00B434A7" w:rsidRDefault="00CA6C30" w:rsidP="00B434A7">
      <w:pPr>
        <w:rPr>
          <w:i/>
          <w:lang w:val="en-GB"/>
        </w:rPr>
      </w:pPr>
      <w:r>
        <w:rPr>
          <w:i/>
          <w:lang w:val="en-GB"/>
        </w:rPr>
        <w:lastRenderedPageBreak/>
        <w:t>Variant</w:t>
      </w:r>
      <w:r w:rsidR="00B434A7" w:rsidRPr="009B2097">
        <w:rPr>
          <w:i/>
          <w:lang w:val="en-GB"/>
        </w:rPr>
        <w:t xml:space="preserve"> </w:t>
      </w:r>
      <w:r w:rsidR="00357A86">
        <w:rPr>
          <w:i/>
          <w:lang w:val="en-GB"/>
        </w:rPr>
        <w:t>2</w:t>
      </w:r>
      <w:r w:rsidR="00B434A7" w:rsidRPr="009B2097">
        <w:rPr>
          <w:i/>
          <w:lang w:val="en-GB"/>
        </w:rPr>
        <w:t xml:space="preserve">) </w:t>
      </w:r>
      <w:r w:rsidR="00B434A7">
        <w:rPr>
          <w:i/>
          <w:lang w:val="en-GB"/>
        </w:rPr>
        <w:t>Estimation of household income</w:t>
      </w:r>
    </w:p>
    <w:p w:rsidR="00822FB6" w:rsidRDefault="007E0D7D" w:rsidP="009B2097">
      <w:pPr>
        <w:rPr>
          <w:lang w:val="en-GB"/>
        </w:rPr>
      </w:pPr>
      <w:r>
        <w:rPr>
          <w:lang w:val="en-GB"/>
        </w:rPr>
        <w:t xml:space="preserve">Since AROPE contains only income information via </w:t>
      </w:r>
      <w:r w:rsidR="00E835CC">
        <w:rPr>
          <w:lang w:val="en-GB"/>
        </w:rPr>
        <w:t>AROP</w:t>
      </w:r>
      <w:r>
        <w:rPr>
          <w:lang w:val="en-GB"/>
        </w:rPr>
        <w:t xml:space="preserve"> it would be sufficient to estimate the </w:t>
      </w:r>
      <w:proofErr w:type="spellStart"/>
      <w:r>
        <w:rPr>
          <w:lang w:val="en-GB"/>
        </w:rPr>
        <w:t>equivalised</w:t>
      </w:r>
      <w:proofErr w:type="spellEnd"/>
      <w:r>
        <w:rPr>
          <w:lang w:val="en-GB"/>
        </w:rPr>
        <w:t xml:space="preserve"> income based on register data and subsequently calculate </w:t>
      </w:r>
      <w:proofErr w:type="gramStart"/>
      <w:r w:rsidR="00720E1A" w:rsidRPr="007A5979">
        <w:rPr>
          <w:lang w:val="en-GB"/>
        </w:rPr>
        <w:t>AROPE</w:t>
      </w:r>
      <w:r w:rsidR="00720E1A" w:rsidRPr="007A5979">
        <w:rPr>
          <w:vertAlign w:val="superscript"/>
          <w:lang w:val="en-GB"/>
        </w:rPr>
        <w:t>(</w:t>
      </w:r>
      <w:proofErr w:type="gramEnd"/>
      <w:r w:rsidR="00720E1A" w:rsidRPr="007A5979">
        <w:rPr>
          <w:vertAlign w:val="superscript"/>
          <w:lang w:val="en-GB"/>
        </w:rPr>
        <w:t>REG)</w:t>
      </w:r>
      <w:r w:rsidR="00720E1A">
        <w:rPr>
          <w:lang w:val="en-GB"/>
        </w:rPr>
        <w:t xml:space="preserve"> and </w:t>
      </w:r>
      <w:r w:rsidR="00720E1A" w:rsidRPr="007A5979">
        <w:rPr>
          <w:lang w:val="en-GB"/>
        </w:rPr>
        <w:t>AROP</w:t>
      </w:r>
      <w:r w:rsidR="00720E1A" w:rsidRPr="007A5979">
        <w:rPr>
          <w:vertAlign w:val="superscript"/>
          <w:lang w:val="en-GB"/>
        </w:rPr>
        <w:t>(REG)</w:t>
      </w:r>
      <w:r>
        <w:rPr>
          <w:lang w:val="en-GB"/>
        </w:rPr>
        <w:t xml:space="preserve">. </w:t>
      </w:r>
      <w:r w:rsidR="00176C8D">
        <w:rPr>
          <w:lang w:val="en-GB"/>
        </w:rPr>
        <w:t xml:space="preserve">Furthermore, only a new version of the household income is necessary, because the </w:t>
      </w:r>
      <w:proofErr w:type="spellStart"/>
      <w:r w:rsidR="00176C8D">
        <w:rPr>
          <w:lang w:val="en-GB"/>
        </w:rPr>
        <w:t>equivalised</w:t>
      </w:r>
      <w:proofErr w:type="spellEnd"/>
      <w:r w:rsidR="00176C8D">
        <w:rPr>
          <w:lang w:val="en-GB"/>
        </w:rPr>
        <w:t xml:space="preserve"> income then can be calculated using </w:t>
      </w:r>
      <w:r w:rsidR="00A338A8">
        <w:rPr>
          <w:lang w:val="en-GB"/>
        </w:rPr>
        <w:t>information available from interviews.</w:t>
      </w:r>
      <w:r w:rsidR="00176C8D">
        <w:rPr>
          <w:lang w:val="en-GB"/>
        </w:rPr>
        <w:t xml:space="preserve"> </w:t>
      </w:r>
    </w:p>
    <w:p w:rsidR="00B434A7" w:rsidRDefault="007E0D7D" w:rsidP="009B2097">
      <w:pPr>
        <w:rPr>
          <w:lang w:val="en-GB"/>
        </w:rPr>
      </w:pPr>
      <w:r>
        <w:rPr>
          <w:lang w:val="en-GB"/>
        </w:rPr>
        <w:t xml:space="preserve">With a new household income, estimated by including the effect of register data, </w:t>
      </w:r>
      <w:r w:rsidR="0043711D">
        <w:rPr>
          <w:lang w:val="en-GB"/>
        </w:rPr>
        <w:t xml:space="preserve">the at-risk-of-poverty threshold (60% of the median of </w:t>
      </w:r>
      <w:proofErr w:type="spellStart"/>
      <w:r w:rsidR="0043711D">
        <w:rPr>
          <w:lang w:val="en-GB"/>
        </w:rPr>
        <w:t>equivalised</w:t>
      </w:r>
      <w:proofErr w:type="spellEnd"/>
      <w:r w:rsidR="0043711D">
        <w:rPr>
          <w:lang w:val="en-GB"/>
        </w:rPr>
        <w:t xml:space="preserve"> income) and </w:t>
      </w:r>
      <w:proofErr w:type="gramStart"/>
      <w:r w:rsidR="00720E1A" w:rsidRPr="007A5979">
        <w:rPr>
          <w:lang w:val="en-GB"/>
        </w:rPr>
        <w:t>AROP</w:t>
      </w:r>
      <w:r w:rsidR="00720E1A" w:rsidRPr="007A5979">
        <w:rPr>
          <w:vertAlign w:val="superscript"/>
          <w:lang w:val="en-GB"/>
        </w:rPr>
        <w:t>(</w:t>
      </w:r>
      <w:proofErr w:type="gramEnd"/>
      <w:r w:rsidR="00720E1A" w:rsidRPr="007A5979">
        <w:rPr>
          <w:vertAlign w:val="superscript"/>
          <w:lang w:val="en-GB"/>
        </w:rPr>
        <w:t>REG)</w:t>
      </w:r>
      <w:r w:rsidR="00720E1A">
        <w:rPr>
          <w:vertAlign w:val="superscript"/>
          <w:lang w:val="en-GB"/>
        </w:rPr>
        <w:t xml:space="preserve"> </w:t>
      </w:r>
      <w:r w:rsidR="00822FB6">
        <w:rPr>
          <w:lang w:val="en-GB"/>
        </w:rPr>
        <w:t>as well as</w:t>
      </w:r>
      <w:r w:rsidR="00720E1A">
        <w:rPr>
          <w:lang w:val="en-GB"/>
        </w:rPr>
        <w:t xml:space="preserve"> </w:t>
      </w:r>
      <w:r w:rsidR="00720E1A" w:rsidRPr="007A5979">
        <w:rPr>
          <w:lang w:val="en-GB"/>
        </w:rPr>
        <w:t>AROPE</w:t>
      </w:r>
      <w:r w:rsidR="00720E1A" w:rsidRPr="007A5979">
        <w:rPr>
          <w:vertAlign w:val="superscript"/>
          <w:lang w:val="en-GB"/>
        </w:rPr>
        <w:t>(REG)</w:t>
      </w:r>
      <w:r w:rsidR="0043711D">
        <w:rPr>
          <w:lang w:val="en-GB"/>
        </w:rPr>
        <w:t xml:space="preserve"> do not have to be estimated separately. Together with non-income household characteristics from the </w:t>
      </w:r>
      <w:r w:rsidR="002506E2">
        <w:rPr>
          <w:lang w:val="en-GB"/>
        </w:rPr>
        <w:t>interview</w:t>
      </w:r>
      <w:r w:rsidR="0043711D">
        <w:rPr>
          <w:lang w:val="en-GB"/>
        </w:rPr>
        <w:t xml:space="preserve"> </w:t>
      </w:r>
      <w:r>
        <w:rPr>
          <w:lang w:val="en-GB"/>
        </w:rPr>
        <w:t xml:space="preserve">a new </w:t>
      </w:r>
      <w:proofErr w:type="spellStart"/>
      <w:r>
        <w:rPr>
          <w:lang w:val="en-GB"/>
        </w:rPr>
        <w:t>equivalised</w:t>
      </w:r>
      <w:proofErr w:type="spellEnd"/>
      <w:r>
        <w:rPr>
          <w:lang w:val="en-GB"/>
        </w:rPr>
        <w:t xml:space="preserve"> income </w:t>
      </w:r>
      <w:r w:rsidR="0043711D">
        <w:rPr>
          <w:lang w:val="en-GB"/>
        </w:rPr>
        <w:t>based on the estimated household income</w:t>
      </w:r>
      <w:r w:rsidR="00822FB6">
        <w:rPr>
          <w:lang w:val="en-GB"/>
        </w:rPr>
        <w:t xml:space="preserve"> can be calculated. Then also the at-risk-of-poverty threshold (60% of the median of </w:t>
      </w:r>
      <w:proofErr w:type="spellStart"/>
      <w:r w:rsidR="00822FB6">
        <w:rPr>
          <w:lang w:val="en-GB"/>
        </w:rPr>
        <w:t>equivalised</w:t>
      </w:r>
      <w:proofErr w:type="spellEnd"/>
      <w:r w:rsidR="00822FB6">
        <w:rPr>
          <w:lang w:val="en-GB"/>
        </w:rPr>
        <w:t xml:space="preserve"> income) </w:t>
      </w:r>
      <w:r>
        <w:rPr>
          <w:lang w:val="en-GB"/>
        </w:rPr>
        <w:t xml:space="preserve">as well as </w:t>
      </w:r>
      <w:proofErr w:type="gramStart"/>
      <w:r w:rsidR="00720E1A" w:rsidRPr="007A5979">
        <w:rPr>
          <w:lang w:val="en-GB"/>
        </w:rPr>
        <w:t>AROP</w:t>
      </w:r>
      <w:r w:rsidR="00720E1A" w:rsidRPr="007A5979">
        <w:rPr>
          <w:vertAlign w:val="superscript"/>
          <w:lang w:val="en-GB"/>
        </w:rPr>
        <w:t>(</w:t>
      </w:r>
      <w:proofErr w:type="gramEnd"/>
      <w:r w:rsidR="00720E1A" w:rsidRPr="007A5979">
        <w:rPr>
          <w:vertAlign w:val="superscript"/>
          <w:lang w:val="en-GB"/>
        </w:rPr>
        <w:t>REG)</w:t>
      </w:r>
      <w:r w:rsidR="00720E1A">
        <w:rPr>
          <w:vertAlign w:val="superscript"/>
          <w:lang w:val="en-GB"/>
        </w:rPr>
        <w:t xml:space="preserve"> </w:t>
      </w:r>
      <w:r w:rsidR="00720E1A">
        <w:rPr>
          <w:lang w:val="en-GB"/>
        </w:rPr>
        <w:t xml:space="preserve">and </w:t>
      </w:r>
      <w:r w:rsidR="00720E1A" w:rsidRPr="007A5979">
        <w:rPr>
          <w:lang w:val="en-GB"/>
        </w:rPr>
        <w:t>AROPE</w:t>
      </w:r>
      <w:r w:rsidR="00720E1A" w:rsidRPr="007A5979">
        <w:rPr>
          <w:vertAlign w:val="superscript"/>
          <w:lang w:val="en-GB"/>
        </w:rPr>
        <w:t>(REG)</w:t>
      </w:r>
      <w:r w:rsidR="00720E1A">
        <w:rPr>
          <w:lang w:val="en-GB"/>
        </w:rPr>
        <w:t xml:space="preserve"> </w:t>
      </w:r>
      <w:r w:rsidR="00822FB6">
        <w:rPr>
          <w:lang w:val="en-GB"/>
        </w:rPr>
        <w:t xml:space="preserve">do not have to be estimated but </w:t>
      </w:r>
      <w:r>
        <w:rPr>
          <w:lang w:val="en-GB"/>
        </w:rPr>
        <w:t xml:space="preserve">can be calculated. The obvious advantage compared to </w:t>
      </w:r>
      <w:r w:rsidR="00720E1A">
        <w:rPr>
          <w:lang w:val="en-GB"/>
        </w:rPr>
        <w:t>variant</w:t>
      </w:r>
      <w:r>
        <w:rPr>
          <w:lang w:val="en-GB"/>
        </w:rPr>
        <w:t xml:space="preserve"> 1 is that there is no danger of implausible differences </w:t>
      </w:r>
      <w:r w:rsidR="00822FB6">
        <w:rPr>
          <w:lang w:val="en-GB"/>
        </w:rPr>
        <w:t>between</w:t>
      </w:r>
      <w:r>
        <w:rPr>
          <w:lang w:val="en-GB"/>
        </w:rPr>
        <w:t xml:space="preserve"> </w:t>
      </w:r>
      <w:proofErr w:type="gramStart"/>
      <w:r w:rsidR="00720E1A" w:rsidRPr="007A5979">
        <w:rPr>
          <w:lang w:val="en-GB"/>
        </w:rPr>
        <w:t>AROP</w:t>
      </w:r>
      <w:r w:rsidR="00720E1A" w:rsidRPr="007A5979">
        <w:rPr>
          <w:vertAlign w:val="superscript"/>
          <w:lang w:val="en-GB"/>
        </w:rPr>
        <w:t>(</w:t>
      </w:r>
      <w:proofErr w:type="gramEnd"/>
      <w:r w:rsidR="00720E1A" w:rsidRPr="007A5979">
        <w:rPr>
          <w:vertAlign w:val="superscript"/>
          <w:lang w:val="en-GB"/>
        </w:rPr>
        <w:t>REG)</w:t>
      </w:r>
      <w:r w:rsidR="00720E1A">
        <w:rPr>
          <w:vertAlign w:val="superscript"/>
          <w:lang w:val="en-GB"/>
        </w:rPr>
        <w:t xml:space="preserve"> </w:t>
      </w:r>
      <w:r w:rsidR="00720E1A">
        <w:rPr>
          <w:lang w:val="en-GB"/>
        </w:rPr>
        <w:t xml:space="preserve">and </w:t>
      </w:r>
      <w:r w:rsidR="00720E1A" w:rsidRPr="007A5979">
        <w:rPr>
          <w:lang w:val="en-GB"/>
        </w:rPr>
        <w:t>AROPE</w:t>
      </w:r>
      <w:r w:rsidR="00720E1A" w:rsidRPr="007A5979">
        <w:rPr>
          <w:vertAlign w:val="superscript"/>
          <w:lang w:val="en-GB"/>
        </w:rPr>
        <w:t>(REG)</w:t>
      </w:r>
      <w:r w:rsidR="00822FB6">
        <w:rPr>
          <w:lang w:val="en-GB"/>
        </w:rPr>
        <w:t xml:space="preserve"> because they are bo</w:t>
      </w:r>
      <w:r w:rsidR="008D5F56">
        <w:rPr>
          <w:lang w:val="en-GB"/>
        </w:rPr>
        <w:t>th based on the same estimated</w:t>
      </w:r>
      <w:r w:rsidR="00822FB6">
        <w:rPr>
          <w:lang w:val="en-GB"/>
        </w:rPr>
        <w:t xml:space="preserve"> household income distribution.</w:t>
      </w:r>
      <w:r w:rsidR="00B03907">
        <w:rPr>
          <w:lang w:val="en-GB"/>
        </w:rPr>
        <w:t xml:space="preserve"> </w:t>
      </w:r>
    </w:p>
    <w:p w:rsidR="006155C1" w:rsidRPr="00023DA2" w:rsidRDefault="000E5C5E" w:rsidP="006155C1">
      <w:pPr>
        <w:rPr>
          <w:lang w:val="en-GB"/>
        </w:rPr>
      </w:pPr>
      <w:r>
        <w:rPr>
          <w:lang w:val="en-GB"/>
        </w:rPr>
        <w:t xml:space="preserve">For EU-SILC 2011 a multiple linear regression model </w:t>
      </w:r>
      <w:r w:rsidR="00642E2A">
        <w:rPr>
          <w:lang w:val="en-GB"/>
        </w:rPr>
        <w:t xml:space="preserve">fitted by ordinary least squares (OLS) </w:t>
      </w:r>
      <w:r>
        <w:rPr>
          <w:lang w:val="en-GB"/>
        </w:rPr>
        <w:t xml:space="preserve">was used to predict </w:t>
      </w:r>
      <w:proofErr w:type="gramStart"/>
      <w:r w:rsidR="00B07D6C">
        <w:rPr>
          <w:lang w:val="en-GB"/>
        </w:rPr>
        <w:t>HINC</w:t>
      </w:r>
      <w:r w:rsidRPr="007A5979">
        <w:rPr>
          <w:vertAlign w:val="superscript"/>
          <w:lang w:val="en-GB"/>
        </w:rPr>
        <w:t>(</w:t>
      </w:r>
      <w:proofErr w:type="gramEnd"/>
      <w:r w:rsidRPr="007A5979">
        <w:rPr>
          <w:vertAlign w:val="superscript"/>
          <w:lang w:val="en-GB"/>
        </w:rPr>
        <w:t>REG)</w:t>
      </w:r>
      <w:r w:rsidRPr="000E5C5E">
        <w:rPr>
          <w:lang w:val="en-GB"/>
        </w:rPr>
        <w:t>,</w:t>
      </w:r>
      <w:r>
        <w:rPr>
          <w:vertAlign w:val="superscript"/>
          <w:lang w:val="en-GB"/>
        </w:rPr>
        <w:t xml:space="preserve"> </w:t>
      </w:r>
      <w:r>
        <w:rPr>
          <w:lang w:val="en-GB"/>
        </w:rPr>
        <w:t xml:space="preserve">the household income based on registers. More specifically, the natural logarithm of </w:t>
      </w:r>
      <w:proofErr w:type="gramStart"/>
      <w:r w:rsidR="00B07D6C">
        <w:rPr>
          <w:lang w:val="en-GB"/>
        </w:rPr>
        <w:t>HINC</w:t>
      </w:r>
      <w:r w:rsidRPr="007A5979">
        <w:rPr>
          <w:vertAlign w:val="superscript"/>
          <w:lang w:val="en-GB"/>
        </w:rPr>
        <w:t>(</w:t>
      </w:r>
      <w:proofErr w:type="gramEnd"/>
      <w:r w:rsidRPr="007A5979">
        <w:rPr>
          <w:vertAlign w:val="superscript"/>
          <w:lang w:val="en-GB"/>
        </w:rPr>
        <w:t>REG)</w:t>
      </w:r>
      <w:r>
        <w:rPr>
          <w:lang w:val="en-GB"/>
        </w:rPr>
        <w:t xml:space="preserve"> was used as the dependent variable because </w:t>
      </w:r>
      <w:r w:rsidR="006155C1">
        <w:rPr>
          <w:lang w:val="en-GB"/>
        </w:rPr>
        <w:t xml:space="preserve">of the positively skewed distribution of household income. Let the vector </w:t>
      </w:r>
      <w:r w:rsidR="00B07D6C">
        <w:rPr>
          <w:lang w:val="en-GB"/>
        </w:rPr>
        <w:t>HINC</w:t>
      </w:r>
      <w:r w:rsidR="006155C1">
        <w:rPr>
          <w:lang w:val="en-GB"/>
        </w:rPr>
        <w:t xml:space="preserve"> </w:t>
      </w:r>
      <w:r w:rsidR="00A97E68">
        <w:rPr>
          <w:lang w:val="en-GB"/>
        </w:rPr>
        <w:t xml:space="preserve">denote the household income based mainly on </w:t>
      </w:r>
      <w:r w:rsidR="00CC45D7">
        <w:rPr>
          <w:lang w:val="en-GB"/>
        </w:rPr>
        <w:t>interview</w:t>
      </w:r>
      <w:r w:rsidR="00A97E68">
        <w:rPr>
          <w:lang w:val="en-GB"/>
        </w:rPr>
        <w:t xml:space="preserve"> data and </w:t>
      </w:r>
      <w:proofErr w:type="spellStart"/>
      <w:r w:rsidR="00CC45D7">
        <w:rPr>
          <w:lang w:val="en-GB"/>
        </w:rPr>
        <w:t>x</w:t>
      </w:r>
      <w:r w:rsidR="00CC45D7" w:rsidRPr="00E2732E">
        <w:rPr>
          <w:i/>
          <w:vertAlign w:val="subscript"/>
          <w:lang w:val="en-GB"/>
        </w:rPr>
        <w:t>j</w:t>
      </w:r>
      <w:proofErr w:type="spellEnd"/>
      <w:r w:rsidR="00CC45D7">
        <w:rPr>
          <w:vertAlign w:val="subscript"/>
          <w:lang w:val="en-GB"/>
        </w:rPr>
        <w:t xml:space="preserve"> </w:t>
      </w:r>
      <w:r w:rsidR="00CC45D7" w:rsidRPr="008B10E0">
        <w:rPr>
          <w:vertAlign w:val="subscript"/>
          <w:lang w:val="en-GB"/>
        </w:rPr>
        <w:t>[</w:t>
      </w:r>
      <w:r w:rsidR="00CC45D7">
        <w:rPr>
          <w:i/>
          <w:vertAlign w:val="subscript"/>
          <w:lang w:val="en-GB"/>
        </w:rPr>
        <w:t>j</w:t>
      </w:r>
      <w:r w:rsidR="00CC45D7" w:rsidRPr="008B10E0">
        <w:rPr>
          <w:vertAlign w:val="subscript"/>
          <w:lang w:val="en-GB"/>
        </w:rPr>
        <w:t>=</w:t>
      </w:r>
      <w:r w:rsidR="00CC45D7">
        <w:rPr>
          <w:vertAlign w:val="subscript"/>
          <w:lang w:val="en-GB"/>
        </w:rPr>
        <w:t>1</w:t>
      </w:r>
      <w:r w:rsidR="00CC45D7" w:rsidRPr="008B10E0">
        <w:rPr>
          <w:vertAlign w:val="subscript"/>
          <w:lang w:val="en-GB"/>
        </w:rPr>
        <w:t>, … , J]</w:t>
      </w:r>
      <w:r w:rsidR="00CC45D7">
        <w:rPr>
          <w:lang w:val="en-GB"/>
        </w:rPr>
        <w:t xml:space="preserve"> the</w:t>
      </w:r>
      <w:r w:rsidR="006155C1">
        <w:rPr>
          <w:lang w:val="en-GB"/>
        </w:rPr>
        <w:t xml:space="preserve"> </w:t>
      </w:r>
      <w:r w:rsidR="006155C1" w:rsidRPr="008B10E0">
        <w:rPr>
          <w:i/>
          <w:lang w:val="en-GB"/>
        </w:rPr>
        <w:t>J</w:t>
      </w:r>
      <w:r w:rsidR="006155C1">
        <w:rPr>
          <w:lang w:val="en-GB"/>
        </w:rPr>
        <w:t xml:space="preserve"> </w:t>
      </w:r>
      <w:r w:rsidR="00A97E68">
        <w:rPr>
          <w:lang w:val="en-GB"/>
        </w:rPr>
        <w:t xml:space="preserve">additional </w:t>
      </w:r>
      <w:r w:rsidR="006155C1">
        <w:rPr>
          <w:lang w:val="en-GB"/>
        </w:rPr>
        <w:t>explanatory variables</w:t>
      </w:r>
      <w:r w:rsidR="00A97E68">
        <w:rPr>
          <w:lang w:val="en-GB"/>
        </w:rPr>
        <w:t>, then the model</w:t>
      </w:r>
      <w:r w:rsidR="006155C1">
        <w:rPr>
          <w:lang w:val="en-GB"/>
        </w:rPr>
        <w:t xml:space="preserve"> which is used to predict the </w:t>
      </w:r>
      <w:r w:rsidR="00B352C4">
        <w:rPr>
          <w:lang w:val="en-GB"/>
        </w:rPr>
        <w:t xml:space="preserve">household income based </w:t>
      </w:r>
      <w:r w:rsidR="00CC45D7">
        <w:rPr>
          <w:lang w:val="en-GB"/>
        </w:rPr>
        <w:t xml:space="preserve">mainly </w:t>
      </w:r>
      <w:r w:rsidR="00B352C4">
        <w:rPr>
          <w:lang w:val="en-GB"/>
        </w:rPr>
        <w:t>on registers can be defined as follows</w:t>
      </w:r>
      <w:r w:rsidR="006155C1">
        <w:rPr>
          <w:lang w:val="en-GB"/>
        </w:rPr>
        <w:t>:</w:t>
      </w:r>
    </w:p>
    <w:p w:rsidR="00B352C4" w:rsidRDefault="00E84945" w:rsidP="00B352C4">
      <w:pPr>
        <w:jc w:val="right"/>
        <w:rPr>
          <w:rFonts w:cs="Arial"/>
          <w:sz w:val="28"/>
          <w:szCs w:val="28"/>
          <w:lang w:val="en-GB"/>
        </w:rPr>
      </w:pPr>
      <m:oMath>
        <m:acc>
          <m:accPr>
            <m:ctrlPr>
              <w:rPr>
                <w:rFonts w:ascii="Cambria Math" w:hAnsi="Cambria Math" w:cs="Arial"/>
                <w:i/>
                <w:szCs w:val="28"/>
                <w:lang w:val="en-GB"/>
              </w:rPr>
            </m:ctrlPr>
          </m:accPr>
          <m:e>
            <m:sSup>
              <m:sSupPr>
                <m:ctrlPr>
                  <w:rPr>
                    <w:rFonts w:ascii="Cambria Math" w:hAnsi="Cambria Math" w:cs="Arial"/>
                    <w:i/>
                    <w:szCs w:val="28"/>
                    <w:lang w:val="en-GB"/>
                  </w:rPr>
                </m:ctrlPr>
              </m:sSupPr>
              <m:e>
                <m:func>
                  <m:funcPr>
                    <m:ctrlPr>
                      <w:rPr>
                        <w:rFonts w:ascii="Cambria Math" w:hAnsi="Cambria Math" w:cs="Arial"/>
                        <w:i/>
                        <w:szCs w:val="28"/>
                        <w:lang w:val="en-GB"/>
                      </w:rPr>
                    </m:ctrlPr>
                  </m:funcPr>
                  <m:fName>
                    <m:r>
                      <m:rPr>
                        <m:sty m:val="p"/>
                      </m:rPr>
                      <w:rPr>
                        <w:rFonts w:ascii="Cambria Math" w:hAnsi="Cambria Math" w:cs="Arial"/>
                        <w:szCs w:val="28"/>
                        <w:lang w:val="en-GB"/>
                      </w:rPr>
                      <m:t>ln(</m:t>
                    </m:r>
                  </m:fName>
                  <m:e>
                    <m:r>
                      <m:rPr>
                        <m:sty m:val="p"/>
                      </m:rPr>
                      <w:rPr>
                        <w:rFonts w:ascii="Cambria Math" w:hAnsi="Cambria Math" w:cs="Arial"/>
                        <w:szCs w:val="28"/>
                        <w:lang w:val="en-GB"/>
                      </w:rPr>
                      <m:t>HINC</m:t>
                    </m:r>
                  </m:e>
                </m:func>
              </m:e>
              <m:sup>
                <m:r>
                  <w:rPr>
                    <w:rFonts w:ascii="Cambria Math" w:hAnsi="Cambria Math" w:cs="Arial"/>
                    <w:szCs w:val="28"/>
                    <w:lang w:val="en-GB"/>
                  </w:rPr>
                  <m:t>(REG)</m:t>
                </m:r>
              </m:sup>
            </m:sSup>
            <m:r>
              <w:rPr>
                <w:rFonts w:ascii="Cambria Math" w:hAnsi="Cambria Math" w:cs="Arial"/>
                <w:szCs w:val="28"/>
                <w:lang w:val="en-GB"/>
              </w:rPr>
              <m:t>)</m:t>
            </m:r>
          </m:e>
        </m:acc>
        <m:r>
          <w:rPr>
            <w:rFonts w:ascii="Cambria Math" w:hAnsi="Cambria Math" w:cs="Arial"/>
            <w:szCs w:val="28"/>
            <w:lang w:val="en-GB"/>
          </w:rPr>
          <m:t>=</m:t>
        </m:r>
      </m:oMath>
      <w:r w:rsidR="00B352C4" w:rsidRPr="008B10E0" w:rsidDel="00D03B30">
        <w:rPr>
          <w:rFonts w:cs="Arial"/>
          <w:sz w:val="28"/>
          <w:szCs w:val="28"/>
          <w:lang w:val="en-GB"/>
        </w:rPr>
        <w:t xml:space="preserve"> </w:t>
      </w:r>
      <m:oMath>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α</m:t>
                </m:r>
              </m:e>
              <m:sub>
                <m:r>
                  <w:rPr>
                    <w:rFonts w:ascii="Cambria Math" w:cs="Arial"/>
                    <w:lang w:val="en-GB"/>
                  </w:rPr>
                  <m:t>0</m:t>
                </m:r>
              </m:sub>
            </m:sSub>
          </m:e>
        </m:acc>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α</m:t>
                </m:r>
              </m:e>
              <m:sub>
                <m:r>
                  <w:rPr>
                    <w:rFonts w:ascii="Cambria Math" w:cs="Arial"/>
                    <w:lang w:val="en-GB"/>
                  </w:rPr>
                  <m:t>1</m:t>
                </m:r>
              </m:sub>
            </m:sSub>
          </m:e>
        </m:acc>
        <m:func>
          <m:funcPr>
            <m:ctrlPr>
              <w:rPr>
                <w:rFonts w:ascii="Cambria Math" w:hAnsi="Cambria Math" w:cs="Cambria Math"/>
                <w:i/>
                <w:lang w:val="en-GB"/>
              </w:rPr>
            </m:ctrlPr>
          </m:funcPr>
          <m:fName>
            <m:r>
              <m:rPr>
                <m:sty m:val="p"/>
              </m:rPr>
              <w:rPr>
                <w:rFonts w:ascii="Cambria Math" w:cs="Arial"/>
                <w:lang w:val="en-GB"/>
              </w:rPr>
              <m:t>ln(</m:t>
            </m:r>
            <m:ctrlPr>
              <w:rPr>
                <w:rFonts w:ascii="Cambria Math" w:hAnsi="Cambria Math" w:cs="Arial"/>
                <w:i/>
                <w:lang w:val="en-GB"/>
              </w:rPr>
            </m:ctrlPr>
          </m:fName>
          <m:e>
            <m:r>
              <m:rPr>
                <m:sty m:val="p"/>
              </m:rPr>
              <w:rPr>
                <w:rFonts w:ascii="Cambria Math" w:cs="Arial"/>
                <w:lang w:val="en-GB"/>
              </w:rPr>
              <m:t>HINC</m:t>
            </m:r>
          </m:e>
        </m:func>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cs="Arial"/>
                    <w:lang w:val="en-GB"/>
                  </w:rPr>
                  <m:t xml:space="preserve"> </m:t>
                </m:r>
                <m:r>
                  <w:rPr>
                    <w:rFonts w:ascii="Cambria Math" w:hAnsi="Cambria Math" w:cs="Arial"/>
                  </w:rPr>
                  <m:t>β</m:t>
                </m:r>
              </m:e>
              <m:sub>
                <m:r>
                  <w:rPr>
                    <w:rFonts w:ascii="Cambria Math" w:cs="Arial"/>
                    <w:lang w:val="en-GB"/>
                  </w:rPr>
                  <m:t>1</m:t>
                </m:r>
              </m:sub>
            </m:sSub>
          </m:e>
        </m:acc>
        <m:r>
          <w:rPr>
            <w:rFonts w:ascii="Cambria Math" w:cs="Arial"/>
            <w:lang w:val="en-GB"/>
          </w:rPr>
          <m:t xml:space="preserve"> </m:t>
        </m:r>
        <m:sSub>
          <m:sSubPr>
            <m:ctrlPr>
              <w:rPr>
                <w:rFonts w:ascii="Cambria Math" w:hAnsi="Cambria Math" w:cs="Arial"/>
                <w:i/>
              </w:rPr>
            </m:ctrlPr>
          </m:sSubPr>
          <m:e>
            <m:r>
              <w:rPr>
                <w:rFonts w:ascii="Cambria Math" w:hAnsi="Cambria Math" w:cs="Arial"/>
              </w:rPr>
              <m:t>x</m:t>
            </m:r>
          </m:e>
          <m:sub>
            <m:r>
              <w:rPr>
                <w:rFonts w:ascii="Cambria Math" w:cs="Arial"/>
                <w:lang w:val="en-GB"/>
              </w:rPr>
              <m:t>1</m:t>
            </m:r>
          </m:sub>
        </m:sSub>
        <m:r>
          <w:rPr>
            <w:rFonts w:ascii="Cambria Math" w:cs="Arial"/>
            <w:lang w:val="en-GB"/>
          </w:rPr>
          <m:t>+</m:t>
        </m:r>
        <m:r>
          <w:rPr>
            <w:rFonts w:ascii="Cambria Math" w:cs="Arial"/>
            <w:lang w:val="en-GB"/>
          </w:rPr>
          <m:t>…</m:t>
        </m:r>
        <m:r>
          <w:rPr>
            <w:rFonts w:ascii="Cambria Math" w:cs="Arial"/>
            <w:lang w:val="en-GB"/>
          </w:rPr>
          <m:t>+</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e>
        </m:acc>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oMath>
      <w:r w:rsidR="00B352C4" w:rsidRPr="008B10E0">
        <w:rPr>
          <w:rFonts w:cs="Arial"/>
          <w:sz w:val="28"/>
          <w:szCs w:val="28"/>
          <w:lang w:val="en-GB"/>
        </w:rPr>
        <w:t xml:space="preserve">  </w:t>
      </w:r>
      <w:r w:rsidR="00B352C4" w:rsidRPr="008B10E0">
        <w:rPr>
          <w:rFonts w:cs="Arial"/>
          <w:sz w:val="28"/>
          <w:szCs w:val="28"/>
          <w:lang w:val="en-GB"/>
        </w:rPr>
        <w:tab/>
      </w:r>
      <w:r w:rsidR="00B352C4">
        <w:rPr>
          <w:rFonts w:cs="Arial"/>
          <w:sz w:val="28"/>
          <w:szCs w:val="28"/>
          <w:lang w:val="en-GB"/>
        </w:rPr>
        <w:tab/>
      </w:r>
      <w:r w:rsidR="00B352C4" w:rsidRPr="008B10E0">
        <w:rPr>
          <w:rFonts w:cs="Arial"/>
          <w:lang w:val="en-GB"/>
        </w:rPr>
        <w:t>(</w:t>
      </w:r>
      <w:r w:rsidR="00B352C4" w:rsidRPr="00340AE3">
        <w:rPr>
          <w:rFonts w:cs="Arial"/>
        </w:rPr>
        <w:fldChar w:fldCharType="begin"/>
      </w:r>
      <w:r w:rsidR="00B352C4" w:rsidRPr="008B10E0">
        <w:rPr>
          <w:rFonts w:cs="Arial"/>
          <w:lang w:val="en-GB"/>
        </w:rPr>
        <w:instrText xml:space="preserve"> SEQ Formel \* ARABIC </w:instrText>
      </w:r>
      <w:r w:rsidR="00B352C4" w:rsidRPr="00340AE3">
        <w:rPr>
          <w:rFonts w:cs="Arial"/>
        </w:rPr>
        <w:fldChar w:fldCharType="separate"/>
      </w:r>
      <w:r w:rsidR="00140CF9">
        <w:rPr>
          <w:rFonts w:cs="Arial"/>
          <w:noProof/>
          <w:lang w:val="en-GB"/>
        </w:rPr>
        <w:t>3</w:t>
      </w:r>
      <w:r w:rsidR="00B352C4" w:rsidRPr="00340AE3">
        <w:rPr>
          <w:rFonts w:cs="Arial"/>
        </w:rPr>
        <w:fldChar w:fldCharType="end"/>
      </w:r>
      <w:r w:rsidR="00B352C4" w:rsidRPr="008B10E0">
        <w:rPr>
          <w:rFonts w:cs="Arial"/>
          <w:lang w:val="en-GB"/>
        </w:rPr>
        <w:t>)</w:t>
      </w:r>
    </w:p>
    <w:p w:rsidR="004767F1" w:rsidRPr="00AC0C0B" w:rsidRDefault="00662161" w:rsidP="009B2097">
      <w:pPr>
        <w:rPr>
          <w:szCs w:val="28"/>
          <w:lang w:val="en-GB"/>
        </w:rPr>
      </w:pPr>
      <w:r>
        <w:rPr>
          <w:lang w:val="en-GB"/>
        </w:rPr>
        <w:t>The regression coefficients o</w:t>
      </w:r>
      <w:r w:rsidR="00642E2A">
        <w:rPr>
          <w:lang w:val="en-GB"/>
        </w:rPr>
        <w:t>f</w:t>
      </w:r>
      <w:r>
        <w:rPr>
          <w:lang w:val="en-GB"/>
        </w:rPr>
        <w:t xml:space="preserve"> the model in formula (3) were obtained by a stepwise procedure where insignificant predictors </w:t>
      </w:r>
      <w:r w:rsidR="00CC45D7">
        <w:rPr>
          <w:lang w:val="en-GB"/>
        </w:rPr>
        <w:t>with a</w:t>
      </w:r>
      <w:r>
        <w:rPr>
          <w:lang w:val="en-GB"/>
        </w:rPr>
        <w:t xml:space="preserve"> significance level smaller than 0.1 were not allowed to remain in the model.</w:t>
      </w:r>
      <w:r w:rsidR="00642E2A">
        <w:rPr>
          <w:lang w:val="en-GB"/>
        </w:rPr>
        <w:t xml:space="preserve"> Since the linear regression model obtained by OLS is sensitive in regard to outliers, 124 households had to be omitted because </w:t>
      </w:r>
      <w:r w:rsidR="00712AA9">
        <w:rPr>
          <w:lang w:val="en-GB"/>
        </w:rPr>
        <w:t>of extreme values</w:t>
      </w:r>
      <w:r w:rsidR="00DA01F9">
        <w:rPr>
          <w:lang w:val="en-GB"/>
        </w:rPr>
        <w:t>.</w:t>
      </w:r>
      <w:r w:rsidR="00DA01F9">
        <w:rPr>
          <w:rStyle w:val="FootnoteReference"/>
          <w:lang w:val="en-GB"/>
        </w:rPr>
        <w:footnoteReference w:id="7"/>
      </w:r>
      <w:r w:rsidR="00DA01F9">
        <w:rPr>
          <w:lang w:val="en-GB"/>
        </w:rPr>
        <w:t xml:space="preserve"> </w:t>
      </w:r>
      <w:r w:rsidR="00065BFF">
        <w:rPr>
          <w:lang w:val="en-GB"/>
        </w:rPr>
        <w:t>Still, 6,</w:t>
      </w:r>
      <w:r w:rsidR="00DA01F9">
        <w:rPr>
          <w:lang w:val="en-GB"/>
        </w:rPr>
        <w:t>063 households remained in the sample, so a sufficiently large number of cases were available for fitting the model.</w:t>
      </w:r>
      <w:r w:rsidR="00903AF3">
        <w:rPr>
          <w:lang w:val="en-GB"/>
        </w:rPr>
        <w:t xml:space="preserve"> The final model delivered a very good fit with</w:t>
      </w:r>
      <w:r w:rsidR="002002D6">
        <w:rPr>
          <w:lang w:val="en-GB"/>
        </w:rPr>
        <w:t xml:space="preserve"> R</w:t>
      </w:r>
      <w:r w:rsidR="002002D6">
        <w:rPr>
          <w:vertAlign w:val="superscript"/>
          <w:lang w:val="en-GB"/>
        </w:rPr>
        <w:t>2</w:t>
      </w:r>
      <w:r w:rsidR="005E0D19">
        <w:rPr>
          <w:lang w:val="en-GB"/>
        </w:rPr>
        <w:t xml:space="preserve"> </w:t>
      </w:r>
      <w:r w:rsidR="002002D6">
        <w:rPr>
          <w:lang w:val="en-GB"/>
        </w:rPr>
        <w:t xml:space="preserve">amounting to 89%. This is mainly due to the strong predictive power of </w:t>
      </w:r>
      <w:r w:rsidR="00B07D6C">
        <w:rPr>
          <w:lang w:val="en-GB"/>
        </w:rPr>
        <w:t>HINC</w:t>
      </w:r>
      <w:r w:rsidR="002002D6">
        <w:rPr>
          <w:lang w:val="en-GB"/>
        </w:rPr>
        <w:t xml:space="preserve"> since household income based mainly on </w:t>
      </w:r>
      <w:r w:rsidR="002506E2">
        <w:rPr>
          <w:lang w:val="en-GB"/>
        </w:rPr>
        <w:t>interview</w:t>
      </w:r>
      <w:r w:rsidR="002002D6">
        <w:rPr>
          <w:lang w:val="en-GB"/>
        </w:rPr>
        <w:t xml:space="preserve"> data is highly correlated with household income based mainly on registers.</w:t>
      </w:r>
      <w:r w:rsidR="00440E06">
        <w:rPr>
          <w:lang w:val="en-GB"/>
        </w:rPr>
        <w:t xml:space="preserve"> </w:t>
      </w:r>
      <w:r w:rsidR="00CE1255">
        <w:rPr>
          <w:lang w:val="en-GB"/>
        </w:rPr>
        <w:t xml:space="preserve">The abovementioned strong predictive power of </w:t>
      </w:r>
      <w:r w:rsidR="00B07D6C">
        <w:rPr>
          <w:lang w:val="en-GB"/>
        </w:rPr>
        <w:t>HINC</w:t>
      </w:r>
      <w:r w:rsidR="00CE1255">
        <w:rPr>
          <w:lang w:val="en-GB"/>
        </w:rPr>
        <w:t xml:space="preserve"> is </w:t>
      </w:r>
      <w:r w:rsidR="000B655E">
        <w:rPr>
          <w:lang w:val="en-GB"/>
        </w:rPr>
        <w:t>reflected</w:t>
      </w:r>
      <w:r w:rsidR="00CE1255">
        <w:rPr>
          <w:lang w:val="en-GB"/>
        </w:rPr>
        <w:t xml:space="preserve"> in </w:t>
      </w:r>
      <w:r w:rsidR="000B655E">
        <w:rPr>
          <w:lang w:val="en-GB"/>
        </w:rPr>
        <w:t>a</w:t>
      </w:r>
      <w:r w:rsidR="00CE1255">
        <w:rPr>
          <w:lang w:val="en-GB"/>
        </w:rPr>
        <w:t xml:space="preserve"> comparatively high </w:t>
      </w:r>
      <w:r w:rsidR="00CE1255">
        <w:rPr>
          <w:lang w:val="en-GB"/>
        </w:rPr>
        <w:lastRenderedPageBreak/>
        <w:t xml:space="preserve">standardised regression coefficient </w:t>
      </w:r>
      <w:r w:rsidR="00341313">
        <w:rPr>
          <w:lang w:val="en-GB"/>
        </w:rPr>
        <w:t>of</w:t>
      </w:r>
      <w:r w:rsidR="00020B6B">
        <w:rPr>
          <w:lang w:val="en-GB"/>
        </w:rPr>
        <w:t xml:space="preserve"> 0.774. Among the remaining predictors</w:t>
      </w:r>
      <w:r w:rsidR="00CE1255">
        <w:rPr>
          <w:lang w:val="en-GB"/>
        </w:rPr>
        <w:t xml:space="preserve"> age groups</w:t>
      </w:r>
      <w:r w:rsidR="00020B6B">
        <w:rPr>
          <w:lang w:val="en-GB"/>
        </w:rPr>
        <w:t xml:space="preserve"> show the strongest effect which</w:t>
      </w:r>
      <w:r w:rsidR="00CA6C30">
        <w:rPr>
          <w:lang w:val="en-GB"/>
        </w:rPr>
        <w:t xml:space="preserve"> is mainly due to the fact, that counting the number of persons belonging to a specific age group is an indirect measure of household size.</w:t>
      </w:r>
      <w:r w:rsidR="00FB694A">
        <w:rPr>
          <w:lang w:val="en-GB"/>
        </w:rPr>
        <w:t xml:space="preserve"> The values predicted by the model described in formula (3) were used to calculate a distribution of </w:t>
      </w:r>
      <w:proofErr w:type="spellStart"/>
      <w:r w:rsidR="00FB694A">
        <w:rPr>
          <w:lang w:val="en-GB"/>
        </w:rPr>
        <w:t>equivalised</w:t>
      </w:r>
      <w:proofErr w:type="spellEnd"/>
      <w:r w:rsidR="00FB694A">
        <w:rPr>
          <w:lang w:val="en-GB"/>
        </w:rPr>
        <w:t xml:space="preserve"> income. This was carried out by exponentiation of the predicted </w:t>
      </w:r>
      <w:r w:rsidR="00FB694A" w:rsidRPr="000E4BF9">
        <w:rPr>
          <w:lang w:val="en-GB"/>
        </w:rPr>
        <w:t xml:space="preserve">logarithms </w:t>
      </w:r>
      <m:oMath>
        <m:acc>
          <m:accPr>
            <m:ctrlPr>
              <w:rPr>
                <w:rFonts w:ascii="Cambria Math" w:hAnsi="Cambria Math" w:cs="Arial"/>
                <w:szCs w:val="28"/>
                <w:lang w:val="en-GB"/>
              </w:rPr>
            </m:ctrlPr>
          </m:accPr>
          <m:e>
            <m:sSup>
              <m:sSupPr>
                <m:ctrlPr>
                  <w:rPr>
                    <w:rFonts w:ascii="Cambria Math" w:hAnsi="Cambria Math" w:cs="Arial"/>
                    <w:szCs w:val="28"/>
                    <w:lang w:val="en-GB"/>
                  </w:rPr>
                </m:ctrlPr>
              </m:sSupPr>
              <m:e>
                <m:func>
                  <m:funcPr>
                    <m:ctrlPr>
                      <w:rPr>
                        <w:rFonts w:ascii="Cambria Math" w:hAnsi="Cambria Math" w:cs="Arial"/>
                        <w:szCs w:val="28"/>
                        <w:lang w:val="en-GB"/>
                      </w:rPr>
                    </m:ctrlPr>
                  </m:funcPr>
                  <m:fName>
                    <m:r>
                      <m:rPr>
                        <m:sty m:val="p"/>
                      </m:rPr>
                      <w:rPr>
                        <w:rFonts w:ascii="Cambria Math" w:hAnsi="Cambria Math" w:cs="Arial"/>
                        <w:szCs w:val="28"/>
                        <w:lang w:val="en-GB"/>
                      </w:rPr>
                      <m:t>ln(</m:t>
                    </m:r>
                  </m:fName>
                  <m:e>
                    <m:r>
                      <m:rPr>
                        <m:sty m:val="p"/>
                      </m:rPr>
                      <w:rPr>
                        <w:rFonts w:ascii="Cambria Math" w:hAnsi="Cambria Math" w:cs="Arial"/>
                        <w:szCs w:val="28"/>
                        <w:lang w:val="en-GB"/>
                      </w:rPr>
                      <m:t>HINC</m:t>
                    </m:r>
                  </m:e>
                </m:func>
              </m:e>
              <m:sup>
                <m:r>
                  <m:rPr>
                    <m:sty m:val="p"/>
                  </m:rPr>
                  <w:rPr>
                    <w:rFonts w:ascii="Cambria Math" w:hAnsi="Cambria Math" w:cs="Arial"/>
                    <w:szCs w:val="28"/>
                    <w:lang w:val="en-GB"/>
                  </w:rPr>
                  <m:t>(REG)</m:t>
                </m:r>
              </m:sup>
            </m:sSup>
            <m:r>
              <m:rPr>
                <m:sty m:val="p"/>
              </m:rPr>
              <w:rPr>
                <w:rFonts w:ascii="Cambria Math" w:hAnsi="Cambria Math" w:cs="Arial"/>
                <w:szCs w:val="28"/>
                <w:lang w:val="en-GB"/>
              </w:rPr>
              <m:t>)</m:t>
            </m:r>
          </m:e>
        </m:acc>
      </m:oMath>
      <w:r w:rsidR="00FB694A" w:rsidRPr="000E4BF9">
        <w:rPr>
          <w:szCs w:val="28"/>
          <w:lang w:val="en-GB"/>
        </w:rPr>
        <w:t xml:space="preserve"> and</w:t>
      </w:r>
      <w:r w:rsidR="00FB694A">
        <w:rPr>
          <w:szCs w:val="28"/>
          <w:lang w:val="en-GB"/>
        </w:rPr>
        <w:t xml:space="preserve"> subsequent</w:t>
      </w:r>
      <w:r w:rsidR="00143A6C">
        <w:rPr>
          <w:szCs w:val="28"/>
          <w:lang w:val="en-GB"/>
        </w:rPr>
        <w:t>ly dividing by the consumption</w:t>
      </w:r>
      <w:r w:rsidR="00FB694A">
        <w:rPr>
          <w:szCs w:val="28"/>
          <w:lang w:val="en-GB"/>
        </w:rPr>
        <w:t xml:space="preserve"> </w:t>
      </w:r>
      <w:r w:rsidR="00143A6C">
        <w:rPr>
          <w:szCs w:val="28"/>
          <w:lang w:val="en-GB"/>
        </w:rPr>
        <w:t>e</w:t>
      </w:r>
      <w:r w:rsidR="00FB694A">
        <w:rPr>
          <w:szCs w:val="28"/>
          <w:lang w:val="en-GB"/>
        </w:rPr>
        <w:t>q</w:t>
      </w:r>
      <w:r w:rsidR="00143A6C">
        <w:rPr>
          <w:szCs w:val="28"/>
          <w:lang w:val="en-GB"/>
        </w:rPr>
        <w:t>uivalents</w:t>
      </w:r>
      <w:r w:rsidR="00143A6C">
        <w:rPr>
          <w:rStyle w:val="FootnoteReference"/>
          <w:szCs w:val="28"/>
          <w:lang w:val="en-GB"/>
        </w:rPr>
        <w:footnoteReference w:id="8"/>
      </w:r>
      <w:r w:rsidR="00143A6C">
        <w:rPr>
          <w:szCs w:val="28"/>
          <w:lang w:val="en-GB"/>
        </w:rPr>
        <w:t xml:space="preserve"> derived from the household size and age distribution of household members</w:t>
      </w:r>
      <w:r w:rsidR="00AC0C0B">
        <w:rPr>
          <w:szCs w:val="28"/>
          <w:lang w:val="en-GB"/>
        </w:rPr>
        <w:t xml:space="preserve">. Finally, the at-risk-of-poverty threshold was calculated </w:t>
      </w:r>
      <w:r w:rsidR="00AC0C0B" w:rsidRPr="000E4BF9">
        <w:rPr>
          <w:szCs w:val="28"/>
          <w:lang w:val="en-GB"/>
        </w:rPr>
        <w:t xml:space="preserve">and </w:t>
      </w:r>
      <w:proofErr w:type="gramStart"/>
      <w:r w:rsidR="00AC0C0B" w:rsidRPr="000E4BF9">
        <w:rPr>
          <w:lang w:val="en-GB"/>
        </w:rPr>
        <w:t>AROP</w:t>
      </w:r>
      <w:r w:rsidR="00AC0C0B" w:rsidRPr="007A5979">
        <w:rPr>
          <w:vertAlign w:val="superscript"/>
          <w:lang w:val="en-GB"/>
        </w:rPr>
        <w:t>(</w:t>
      </w:r>
      <w:proofErr w:type="gramEnd"/>
      <w:r w:rsidR="00AC0C0B" w:rsidRPr="007A5979">
        <w:rPr>
          <w:vertAlign w:val="superscript"/>
          <w:lang w:val="en-GB"/>
        </w:rPr>
        <w:t>REG)</w:t>
      </w:r>
      <w:r w:rsidR="00AC0C0B">
        <w:rPr>
          <w:vertAlign w:val="superscript"/>
          <w:lang w:val="en-GB"/>
        </w:rPr>
        <w:t xml:space="preserve"> </w:t>
      </w:r>
      <w:r w:rsidR="00AC0C0B">
        <w:rPr>
          <w:szCs w:val="28"/>
          <w:lang w:val="en-GB"/>
        </w:rPr>
        <w:t xml:space="preserve">as well as </w:t>
      </w:r>
      <w:r w:rsidR="00AC0C0B" w:rsidRPr="007A5979">
        <w:rPr>
          <w:lang w:val="en-GB"/>
        </w:rPr>
        <w:t>AROP</w:t>
      </w:r>
      <w:r w:rsidR="00AC0C0B">
        <w:rPr>
          <w:lang w:val="en-GB"/>
        </w:rPr>
        <w:t>E</w:t>
      </w:r>
      <w:r w:rsidR="00AC0C0B" w:rsidRPr="007A5979">
        <w:rPr>
          <w:vertAlign w:val="superscript"/>
          <w:lang w:val="en-GB"/>
        </w:rPr>
        <w:t>(REG)</w:t>
      </w:r>
      <w:r w:rsidR="00AC0C0B">
        <w:rPr>
          <w:lang w:val="en-GB"/>
        </w:rPr>
        <w:t xml:space="preserve"> could be retrieved. The results presented in </w:t>
      </w:r>
      <w:r w:rsidR="002F370B">
        <w:rPr>
          <w:lang w:val="en-GB"/>
        </w:rPr>
        <w:fldChar w:fldCharType="begin"/>
      </w:r>
      <w:r w:rsidR="002F370B">
        <w:rPr>
          <w:lang w:val="en-GB"/>
        </w:rPr>
        <w:instrText xml:space="preserve"> REF _Ref388645211 \h </w:instrText>
      </w:r>
      <w:r w:rsidR="002F370B">
        <w:rPr>
          <w:lang w:val="en-GB"/>
        </w:rPr>
      </w:r>
      <w:r w:rsidR="002F370B">
        <w:rPr>
          <w:lang w:val="en-GB"/>
        </w:rPr>
        <w:fldChar w:fldCharType="separate"/>
      </w:r>
      <w:r w:rsidR="00140CF9" w:rsidRPr="003A298E">
        <w:rPr>
          <w:lang w:val="en-GB"/>
        </w:rPr>
        <w:t xml:space="preserve">Table </w:t>
      </w:r>
      <w:r w:rsidR="00140CF9">
        <w:rPr>
          <w:noProof/>
          <w:lang w:val="en-GB"/>
        </w:rPr>
        <w:t>2</w:t>
      </w:r>
      <w:r w:rsidR="002F370B">
        <w:rPr>
          <w:lang w:val="en-GB"/>
        </w:rPr>
        <w:fldChar w:fldCharType="end"/>
      </w:r>
      <w:r w:rsidR="002F370B">
        <w:rPr>
          <w:lang w:val="en-GB"/>
        </w:rPr>
        <w:t xml:space="preserve"> </w:t>
      </w:r>
      <w:r w:rsidR="00AC0C0B">
        <w:rPr>
          <w:lang w:val="en-GB"/>
        </w:rPr>
        <w:t>indicate an underestimation of the indicators based on the model in formula (3).</w:t>
      </w:r>
    </w:p>
    <w:p w:rsidR="002F370B" w:rsidRPr="003A298E" w:rsidRDefault="002F370B" w:rsidP="002F370B">
      <w:pPr>
        <w:pStyle w:val="Caption"/>
        <w:keepNext/>
        <w:keepLines/>
        <w:rPr>
          <w:lang w:val="en-GB"/>
        </w:rPr>
      </w:pPr>
      <w:bookmarkStart w:id="5" w:name="_Ref388645211"/>
      <w:r w:rsidRPr="003A298E">
        <w:rPr>
          <w:lang w:val="en-GB"/>
        </w:rPr>
        <w:t xml:space="preserve">Table </w:t>
      </w:r>
      <w:r>
        <w:fldChar w:fldCharType="begin"/>
      </w:r>
      <w:r w:rsidRPr="003A298E">
        <w:rPr>
          <w:lang w:val="en-GB"/>
        </w:rPr>
        <w:instrText xml:space="preserve"> SEQ Table \* ARABIC </w:instrText>
      </w:r>
      <w:r>
        <w:fldChar w:fldCharType="separate"/>
      </w:r>
      <w:r w:rsidR="00140CF9">
        <w:rPr>
          <w:noProof/>
          <w:lang w:val="en-GB"/>
        </w:rPr>
        <w:t>2</w:t>
      </w:r>
      <w:r>
        <w:fldChar w:fldCharType="end"/>
      </w:r>
      <w:bookmarkEnd w:id="5"/>
      <w:r w:rsidRPr="003A298E">
        <w:rPr>
          <w:lang w:val="en-GB"/>
        </w:rPr>
        <w:t xml:space="preserve">: </w:t>
      </w:r>
      <w:r>
        <w:rPr>
          <w:lang w:val="en-GB"/>
        </w:rPr>
        <w:t>Comparison of model based estimates (Variant 2)</w:t>
      </w:r>
    </w:p>
    <w:p w:rsidR="002F370B" w:rsidRDefault="00D56A7D" w:rsidP="009B2097">
      <w:pPr>
        <w:rPr>
          <w:szCs w:val="28"/>
          <w:lang w:val="en-GB"/>
        </w:rPr>
      </w:pPr>
      <w:r w:rsidRPr="00D56A7D">
        <w:rPr>
          <w:noProof/>
          <w:lang w:val="en-US" w:eastAsia="en-US"/>
        </w:rPr>
        <w:drawing>
          <wp:inline distT="0" distB="0" distL="0" distR="0">
            <wp:extent cx="2820670" cy="86233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0670" cy="862330"/>
                    </a:xfrm>
                    <a:prstGeom prst="rect">
                      <a:avLst/>
                    </a:prstGeom>
                    <a:noFill/>
                    <a:ln>
                      <a:noFill/>
                    </a:ln>
                  </pic:spPr>
                </pic:pic>
              </a:graphicData>
            </a:graphic>
          </wp:inline>
        </w:drawing>
      </w:r>
    </w:p>
    <w:p w:rsidR="0048478B" w:rsidRPr="00CB7F4D" w:rsidRDefault="002F370B" w:rsidP="0048478B">
      <w:pPr>
        <w:rPr>
          <w:lang w:val="en-GB"/>
        </w:rPr>
      </w:pPr>
      <w:r>
        <w:rPr>
          <w:lang w:val="en-GB"/>
        </w:rPr>
        <w:t>Since the regression model reduces variance by fitting the regression line the new estimated household income distribution will incorporate less variance than the original one of EU</w:t>
      </w:r>
      <w:r>
        <w:rPr>
          <w:lang w:val="en-GB"/>
        </w:rPr>
        <w:noBreakHyphen/>
        <w:t xml:space="preserve">SILC 2011. Comparison </w:t>
      </w:r>
      <w:r>
        <w:rPr>
          <w:szCs w:val="28"/>
          <w:lang w:val="en-GB"/>
        </w:rPr>
        <w:t xml:space="preserve">of the original distribution of </w:t>
      </w:r>
      <w:r w:rsidR="00B07D6C">
        <w:rPr>
          <w:szCs w:val="28"/>
          <w:lang w:val="en-GB"/>
        </w:rPr>
        <w:t>HINC</w:t>
      </w:r>
      <w:r w:rsidRPr="000E4BF9">
        <w:rPr>
          <w:szCs w:val="28"/>
          <w:vertAlign w:val="superscript"/>
          <w:lang w:val="en-GB"/>
        </w:rPr>
        <w:t>(REG)</w:t>
      </w:r>
      <w:r>
        <w:rPr>
          <w:szCs w:val="28"/>
          <w:lang w:val="en-GB"/>
        </w:rPr>
        <w:t xml:space="preserve"> (dependent variable in the model) with the distribution of estimates </w:t>
      </w:r>
      <w:r>
        <w:rPr>
          <w:lang w:val="en-GB"/>
        </w:rPr>
        <w:t xml:space="preserve">of </w:t>
      </w:r>
      <m:oMath>
        <m:sSup>
          <m:sSupPr>
            <m:ctrlPr>
              <w:rPr>
                <w:rFonts w:ascii="Cambria Math" w:hAnsi="Cambria Math" w:cs="Arial"/>
                <w:szCs w:val="28"/>
                <w:lang w:val="en-GB"/>
              </w:rPr>
            </m:ctrlPr>
          </m:sSupPr>
          <m:e>
            <m:acc>
              <m:accPr>
                <m:ctrlPr>
                  <w:rPr>
                    <w:rFonts w:ascii="Cambria Math" w:hAnsi="Cambria Math" w:cs="Arial"/>
                    <w:szCs w:val="28"/>
                    <w:lang w:val="en-GB"/>
                  </w:rPr>
                </m:ctrlPr>
              </m:accPr>
              <m:e>
                <m:r>
                  <m:rPr>
                    <m:sty m:val="p"/>
                  </m:rPr>
                  <w:rPr>
                    <w:rFonts w:ascii="Cambria Math" w:hAnsi="Cambria Math" w:cs="Arial"/>
                    <w:szCs w:val="28"/>
                    <w:lang w:val="en-GB"/>
                  </w:rPr>
                  <m:t>HINC</m:t>
                </m:r>
              </m:e>
            </m:acc>
          </m:e>
          <m:sup>
            <m:r>
              <m:rPr>
                <m:sty m:val="p"/>
              </m:rPr>
              <w:rPr>
                <w:rFonts w:ascii="Cambria Math" w:hAnsi="Cambria Math" w:cs="Arial"/>
                <w:szCs w:val="28"/>
                <w:lang w:val="en-GB"/>
              </w:rPr>
              <m:t>(REG)</m:t>
            </m:r>
          </m:sup>
        </m:sSup>
      </m:oMath>
      <w:r>
        <w:rPr>
          <w:szCs w:val="28"/>
          <w:lang w:val="en-GB"/>
        </w:rPr>
        <w:t xml:space="preserve"> shows that the latter one is indeed narrower and therefore fewer cases fall below the at-risk-of-poverty threshold leading to the underestimation of </w:t>
      </w:r>
      <w:r w:rsidR="00341313" w:rsidRPr="000E4BF9">
        <w:rPr>
          <w:lang w:val="en-GB"/>
        </w:rPr>
        <w:t>AROP</w:t>
      </w:r>
      <w:r w:rsidR="00341313" w:rsidRPr="007A5979">
        <w:rPr>
          <w:vertAlign w:val="superscript"/>
          <w:lang w:val="en-GB"/>
        </w:rPr>
        <w:t>(REG)</w:t>
      </w:r>
      <w:r w:rsidR="00341313">
        <w:rPr>
          <w:vertAlign w:val="superscript"/>
          <w:lang w:val="en-GB"/>
        </w:rPr>
        <w:t xml:space="preserve"> </w:t>
      </w:r>
      <w:r>
        <w:rPr>
          <w:szCs w:val="28"/>
          <w:lang w:val="en-GB"/>
        </w:rPr>
        <w:t xml:space="preserve">as can be seen in </w:t>
      </w:r>
      <w:r>
        <w:rPr>
          <w:szCs w:val="28"/>
          <w:lang w:val="en-GB"/>
        </w:rPr>
        <w:fldChar w:fldCharType="begin"/>
      </w:r>
      <w:r>
        <w:rPr>
          <w:szCs w:val="28"/>
          <w:lang w:val="en-GB"/>
        </w:rPr>
        <w:instrText xml:space="preserve"> REF _Ref388645211 \h </w:instrText>
      </w:r>
      <w:r>
        <w:rPr>
          <w:szCs w:val="28"/>
          <w:lang w:val="en-GB"/>
        </w:rPr>
      </w:r>
      <w:r>
        <w:rPr>
          <w:szCs w:val="28"/>
          <w:lang w:val="en-GB"/>
        </w:rPr>
        <w:fldChar w:fldCharType="separate"/>
      </w:r>
      <w:r w:rsidR="00140CF9" w:rsidRPr="003A298E">
        <w:rPr>
          <w:lang w:val="en-GB"/>
        </w:rPr>
        <w:t xml:space="preserve">Table </w:t>
      </w:r>
      <w:r w:rsidR="00140CF9">
        <w:rPr>
          <w:noProof/>
          <w:lang w:val="en-GB"/>
        </w:rPr>
        <w:t>2</w:t>
      </w:r>
      <w:r>
        <w:rPr>
          <w:szCs w:val="28"/>
          <w:lang w:val="en-GB"/>
        </w:rPr>
        <w:fldChar w:fldCharType="end"/>
      </w:r>
      <w:r>
        <w:rPr>
          <w:szCs w:val="28"/>
          <w:lang w:val="en-GB"/>
        </w:rPr>
        <w:t>.</w:t>
      </w:r>
      <w:r w:rsidR="00140CF9">
        <w:rPr>
          <w:szCs w:val="28"/>
          <w:lang w:val="en-GB"/>
        </w:rPr>
        <w:t xml:space="preserve"> </w:t>
      </w:r>
      <w:r w:rsidR="00FB694A">
        <w:rPr>
          <w:lang w:val="en-GB"/>
        </w:rPr>
        <w:t xml:space="preserve">A solution to this issue is to add </w:t>
      </w:r>
      <w:r w:rsidR="00CB7F4D">
        <w:rPr>
          <w:lang w:val="en-GB"/>
        </w:rPr>
        <w:t xml:space="preserve">normally distributed </w:t>
      </w:r>
      <w:r w:rsidR="00FB694A">
        <w:rPr>
          <w:lang w:val="en-GB"/>
        </w:rPr>
        <w:t xml:space="preserve">stochastic error terms to the predicted values in order to reproduce the amount of variance found in the original register based household income. </w:t>
      </w:r>
      <w:r w:rsidR="006A52EE">
        <w:rPr>
          <w:lang w:val="en-GB"/>
        </w:rPr>
        <w:t>Such</w:t>
      </w:r>
      <w:r w:rsidR="00FB694A">
        <w:rPr>
          <w:lang w:val="en-GB"/>
        </w:rPr>
        <w:t xml:space="preserve"> error terms are independent and identically distributed (</w:t>
      </w:r>
      <w:proofErr w:type="spellStart"/>
      <w:r w:rsidR="00FB694A">
        <w:rPr>
          <w:lang w:val="en-GB"/>
        </w:rPr>
        <w:t>i.i.d</w:t>
      </w:r>
      <w:proofErr w:type="spellEnd"/>
      <w:r w:rsidR="00FB694A">
        <w:rPr>
          <w:lang w:val="en-GB"/>
        </w:rPr>
        <w:t xml:space="preserve">.) and therefore </w:t>
      </w:r>
      <w:r w:rsidR="000E4BF9">
        <w:rPr>
          <w:lang w:val="en-GB"/>
        </w:rPr>
        <w:t xml:space="preserve">they only add noise and no additional information about the structure of the estimated household income. </w:t>
      </w:r>
      <w:r w:rsidR="00CB7F4D">
        <w:rPr>
          <w:lang w:val="en-GB"/>
        </w:rPr>
        <w:t xml:space="preserve">The distribution of the stochastic error terms was chosen </w:t>
      </w:r>
      <w:proofErr w:type="gramStart"/>
      <w:r w:rsidR="00CB7F4D">
        <w:rPr>
          <w:lang w:val="en-GB"/>
        </w:rPr>
        <w:t xml:space="preserve">as </w:t>
      </w:r>
      <w:proofErr w:type="gramEnd"/>
      <m:oMath>
        <m:r>
          <w:rPr>
            <w:rFonts w:ascii="Cambria Math" w:hAnsi="Cambria Math"/>
            <w:lang w:val="en-GB"/>
          </w:rPr>
          <m:t>N(0,</m:t>
        </m:r>
        <m:sSup>
          <m:sSupPr>
            <m:ctrlPr>
              <w:rPr>
                <w:rFonts w:ascii="Cambria Math" w:hAnsi="Cambria Math"/>
                <w:i/>
                <w:lang w:val="en-GB"/>
              </w:rPr>
            </m:ctrlPr>
          </m:sSupPr>
          <m:e>
            <m:acc>
              <m:accPr>
                <m:chr m:val="̃"/>
                <m:ctrlPr>
                  <w:rPr>
                    <w:rFonts w:ascii="Cambria Math" w:hAnsi="Cambria Math"/>
                    <w:i/>
                    <w:lang w:val="en-GB"/>
                  </w:rPr>
                </m:ctrlPr>
              </m:accPr>
              <m:e>
                <m:r>
                  <w:rPr>
                    <w:rFonts w:ascii="Cambria Math" w:hAnsi="Cambria Math"/>
                    <w:lang w:val="en-GB"/>
                  </w:rPr>
                  <m:t>σ</m:t>
                </m:r>
              </m:e>
            </m:acc>
          </m:e>
          <m:sup>
            <m:r>
              <w:rPr>
                <w:rFonts w:ascii="Cambria Math" w:hAnsi="Cambria Math"/>
                <w:lang w:val="en-GB"/>
              </w:rPr>
              <m:t>2</m:t>
            </m:r>
          </m:sup>
        </m:sSup>
        <m:r>
          <w:rPr>
            <w:rFonts w:ascii="Cambria Math" w:hAnsi="Cambria Math"/>
            <w:lang w:val="en-GB"/>
          </w:rPr>
          <m:t>)</m:t>
        </m:r>
      </m:oMath>
      <w:r w:rsidR="00CB7F4D">
        <w:rPr>
          <w:lang w:val="en-GB"/>
        </w:rPr>
        <w:t xml:space="preserve">, where </w:t>
      </w:r>
      <m:oMath>
        <m:sSup>
          <m:sSupPr>
            <m:ctrlPr>
              <w:rPr>
                <w:rFonts w:ascii="Cambria Math" w:hAnsi="Cambria Math"/>
                <w:i/>
                <w:lang w:val="en-GB"/>
              </w:rPr>
            </m:ctrlPr>
          </m:sSupPr>
          <m:e>
            <m:acc>
              <m:accPr>
                <m:chr m:val="̃"/>
                <m:ctrlPr>
                  <w:rPr>
                    <w:rFonts w:ascii="Cambria Math" w:hAnsi="Cambria Math"/>
                    <w:i/>
                    <w:lang w:val="en-GB"/>
                  </w:rPr>
                </m:ctrlPr>
              </m:accPr>
              <m:e>
                <m:r>
                  <w:rPr>
                    <w:rFonts w:ascii="Cambria Math" w:hAnsi="Cambria Math"/>
                    <w:lang w:val="en-GB"/>
                  </w:rPr>
                  <m:t>σ</m:t>
                </m:r>
              </m:e>
            </m:acc>
          </m:e>
          <m:sup>
            <m:r>
              <w:rPr>
                <w:rFonts w:ascii="Cambria Math" w:hAnsi="Cambria Math"/>
                <w:lang w:val="en-GB"/>
              </w:rPr>
              <m:t>2</m:t>
            </m:r>
          </m:sup>
        </m:sSup>
      </m:oMath>
      <w:r w:rsidR="00CB7F4D">
        <w:rPr>
          <w:lang w:val="en-GB"/>
        </w:rPr>
        <w:t xml:space="preserve"> denotes the variance of the distribution of residuals excluding the highest and lowest percentiles. Thus the stochastic error terms added to the predicted values closely resemble the residuals excluding outliers. This methods delivers a distribution of estimated household income </w:t>
      </w:r>
      <w:r w:rsidR="00951456">
        <w:rPr>
          <w:lang w:val="en-GB"/>
        </w:rPr>
        <w:t>(</w:t>
      </w:r>
      <m:oMath>
        <m:sSup>
          <m:sSupPr>
            <m:ctrlPr>
              <w:rPr>
                <w:rFonts w:ascii="Cambria Math" w:hAnsi="Cambria Math" w:cs="Arial"/>
                <w:szCs w:val="28"/>
                <w:lang w:val="en-GB"/>
              </w:rPr>
            </m:ctrlPr>
          </m:sSupPr>
          <m:e>
            <m:acc>
              <m:accPr>
                <m:ctrlPr>
                  <w:rPr>
                    <w:rFonts w:ascii="Cambria Math" w:hAnsi="Cambria Math" w:cs="Arial"/>
                    <w:szCs w:val="28"/>
                    <w:lang w:val="en-GB"/>
                  </w:rPr>
                </m:ctrlPr>
              </m:accPr>
              <m:e>
                <m:r>
                  <m:rPr>
                    <m:sty m:val="p"/>
                  </m:rPr>
                  <w:rPr>
                    <w:rFonts w:ascii="Cambria Math" w:hAnsi="Cambria Math" w:cs="Arial"/>
                    <w:szCs w:val="28"/>
                    <w:lang w:val="en-GB"/>
                  </w:rPr>
                  <m:t>HINC</m:t>
                </m:r>
              </m:e>
            </m:acc>
          </m:e>
          <m:sup>
            <m:sSup>
              <m:sSupPr>
                <m:ctrlPr>
                  <w:rPr>
                    <w:rFonts w:ascii="Cambria Math" w:hAnsi="Cambria Math" w:cs="Arial"/>
                    <w:szCs w:val="28"/>
                    <w:lang w:val="en-GB"/>
                  </w:rPr>
                </m:ctrlPr>
              </m:sSupPr>
              <m:e>
                <m:d>
                  <m:dPr>
                    <m:ctrlPr>
                      <w:rPr>
                        <w:rFonts w:ascii="Cambria Math" w:hAnsi="Cambria Math" w:cs="Arial"/>
                        <w:szCs w:val="28"/>
                        <w:lang w:val="en-GB"/>
                      </w:rPr>
                    </m:ctrlPr>
                  </m:dPr>
                  <m:e>
                    <m:r>
                      <m:rPr>
                        <m:sty m:val="p"/>
                      </m:rPr>
                      <w:rPr>
                        <w:rFonts w:ascii="Cambria Math" w:hAnsi="Cambria Math" w:cs="Arial"/>
                        <w:szCs w:val="28"/>
                        <w:lang w:val="en-GB"/>
                      </w:rPr>
                      <m:t>REG</m:t>
                    </m:r>
                  </m:e>
                </m:d>
              </m:e>
              <m:sup>
                <m:r>
                  <w:rPr>
                    <w:rFonts w:ascii="Cambria Math" w:hAnsi="Cambria Math" w:cs="Arial"/>
                    <w:szCs w:val="28"/>
                    <w:lang w:val="en-GB"/>
                  </w:rPr>
                  <m:t>*</m:t>
                </m:r>
              </m:sup>
            </m:sSup>
          </m:sup>
        </m:sSup>
      </m:oMath>
      <w:r w:rsidR="00951456">
        <w:rPr>
          <w:lang w:val="en-GB"/>
        </w:rPr>
        <w:t xml:space="preserve">) </w:t>
      </w:r>
      <w:r w:rsidR="00CB7F4D">
        <w:rPr>
          <w:lang w:val="en-GB"/>
        </w:rPr>
        <w:t>that closely resembles</w:t>
      </w:r>
      <w:r w:rsidR="00951456">
        <w:rPr>
          <w:lang w:val="en-GB"/>
        </w:rPr>
        <w:t xml:space="preserve"> </w:t>
      </w:r>
      <w:proofErr w:type="gramStart"/>
      <w:r w:rsidR="00B07D6C">
        <w:rPr>
          <w:szCs w:val="28"/>
          <w:lang w:val="en-GB"/>
        </w:rPr>
        <w:t>HINC</w:t>
      </w:r>
      <w:r w:rsidR="00951456" w:rsidRPr="000E4BF9">
        <w:rPr>
          <w:szCs w:val="28"/>
          <w:vertAlign w:val="superscript"/>
          <w:lang w:val="en-GB"/>
        </w:rPr>
        <w:t>(</w:t>
      </w:r>
      <w:proofErr w:type="gramEnd"/>
      <w:r w:rsidR="00951456" w:rsidRPr="000E4BF9">
        <w:rPr>
          <w:szCs w:val="28"/>
          <w:vertAlign w:val="superscript"/>
          <w:lang w:val="en-GB"/>
        </w:rPr>
        <w:t>REG)</w:t>
      </w:r>
      <w:r w:rsidR="00CB7F4D">
        <w:rPr>
          <w:lang w:val="en-GB"/>
        </w:rPr>
        <w:t>.</w:t>
      </w:r>
      <w:r w:rsidR="00951456">
        <w:rPr>
          <w:lang w:val="en-GB"/>
        </w:rPr>
        <w:t xml:space="preserve"> More importantly, also indicators based on </w:t>
      </w:r>
      <m:oMath>
        <m:sSup>
          <m:sSupPr>
            <m:ctrlPr>
              <w:rPr>
                <w:rFonts w:ascii="Cambria Math" w:hAnsi="Cambria Math" w:cs="Arial"/>
                <w:szCs w:val="28"/>
                <w:lang w:val="en-GB"/>
              </w:rPr>
            </m:ctrlPr>
          </m:sSupPr>
          <m:e>
            <m:acc>
              <m:accPr>
                <m:ctrlPr>
                  <w:rPr>
                    <w:rFonts w:ascii="Cambria Math" w:hAnsi="Cambria Math" w:cs="Arial"/>
                    <w:szCs w:val="28"/>
                    <w:lang w:val="en-GB"/>
                  </w:rPr>
                </m:ctrlPr>
              </m:accPr>
              <m:e>
                <m:r>
                  <m:rPr>
                    <m:sty m:val="p"/>
                  </m:rPr>
                  <w:rPr>
                    <w:rFonts w:ascii="Cambria Math" w:hAnsi="Cambria Math" w:cs="Arial"/>
                    <w:szCs w:val="28"/>
                    <w:lang w:val="en-GB"/>
                  </w:rPr>
                  <m:t>HINC</m:t>
                </m:r>
              </m:e>
            </m:acc>
          </m:e>
          <m:sup>
            <m:sSup>
              <m:sSupPr>
                <m:ctrlPr>
                  <w:rPr>
                    <w:rFonts w:ascii="Cambria Math" w:hAnsi="Cambria Math" w:cs="Arial"/>
                    <w:szCs w:val="28"/>
                    <w:lang w:val="en-GB"/>
                  </w:rPr>
                </m:ctrlPr>
              </m:sSupPr>
              <m:e>
                <m:d>
                  <m:dPr>
                    <m:ctrlPr>
                      <w:rPr>
                        <w:rFonts w:ascii="Cambria Math" w:hAnsi="Cambria Math" w:cs="Arial"/>
                        <w:szCs w:val="28"/>
                        <w:lang w:val="en-GB"/>
                      </w:rPr>
                    </m:ctrlPr>
                  </m:dPr>
                  <m:e>
                    <m:r>
                      <m:rPr>
                        <m:sty m:val="p"/>
                      </m:rPr>
                      <w:rPr>
                        <w:rFonts w:ascii="Cambria Math" w:hAnsi="Cambria Math" w:cs="Arial"/>
                        <w:szCs w:val="28"/>
                        <w:lang w:val="en-GB"/>
                      </w:rPr>
                      <m:t>REG</m:t>
                    </m:r>
                  </m:e>
                </m:d>
              </m:e>
              <m:sup>
                <m:r>
                  <w:rPr>
                    <w:rFonts w:ascii="Cambria Math" w:hAnsi="Cambria Math" w:cs="Arial"/>
                    <w:szCs w:val="28"/>
                    <w:lang w:val="en-GB"/>
                  </w:rPr>
                  <m:t>*</m:t>
                </m:r>
              </m:sup>
            </m:sSup>
          </m:sup>
        </m:sSup>
      </m:oMath>
      <w:r w:rsidR="00951456">
        <w:rPr>
          <w:szCs w:val="28"/>
          <w:lang w:val="en-GB"/>
        </w:rPr>
        <w:t xml:space="preserve"> now come very close to the indicators of EU-SILC 2011 as can be seen in</w:t>
      </w:r>
      <w:r w:rsidR="005809C0">
        <w:rPr>
          <w:szCs w:val="28"/>
          <w:lang w:val="en-GB"/>
        </w:rPr>
        <w:t xml:space="preserve"> </w:t>
      </w:r>
      <w:r w:rsidR="005809C0">
        <w:rPr>
          <w:szCs w:val="28"/>
          <w:lang w:val="en-GB"/>
        </w:rPr>
        <w:fldChar w:fldCharType="begin"/>
      </w:r>
      <w:r w:rsidR="005809C0">
        <w:rPr>
          <w:szCs w:val="28"/>
          <w:lang w:val="en-GB"/>
        </w:rPr>
        <w:instrText xml:space="preserve"> REF _Ref388961235 \h </w:instrText>
      </w:r>
      <w:r w:rsidR="005809C0">
        <w:rPr>
          <w:szCs w:val="28"/>
          <w:lang w:val="en-GB"/>
        </w:rPr>
      </w:r>
      <w:r w:rsidR="005809C0">
        <w:rPr>
          <w:szCs w:val="28"/>
          <w:lang w:val="en-GB"/>
        </w:rPr>
        <w:fldChar w:fldCharType="separate"/>
      </w:r>
      <w:r w:rsidR="00140CF9" w:rsidRPr="003A298E">
        <w:rPr>
          <w:lang w:val="en-GB"/>
        </w:rPr>
        <w:t xml:space="preserve">Table </w:t>
      </w:r>
      <w:r w:rsidR="00140CF9">
        <w:rPr>
          <w:noProof/>
          <w:lang w:val="en-GB"/>
        </w:rPr>
        <w:t>3</w:t>
      </w:r>
      <w:r w:rsidR="005809C0">
        <w:rPr>
          <w:szCs w:val="28"/>
          <w:lang w:val="en-GB"/>
        </w:rPr>
        <w:fldChar w:fldCharType="end"/>
      </w:r>
      <w:r w:rsidR="00951456">
        <w:rPr>
          <w:szCs w:val="28"/>
          <w:lang w:val="en-GB"/>
        </w:rPr>
        <w:t>.</w:t>
      </w:r>
    </w:p>
    <w:p w:rsidR="00951456" w:rsidRPr="003A298E" w:rsidRDefault="00951456" w:rsidP="00951456">
      <w:pPr>
        <w:pStyle w:val="Caption"/>
        <w:keepNext/>
        <w:keepLines/>
        <w:rPr>
          <w:lang w:val="en-GB"/>
        </w:rPr>
      </w:pPr>
      <w:bookmarkStart w:id="6" w:name="_Ref388961235"/>
      <w:r w:rsidRPr="003A298E">
        <w:rPr>
          <w:lang w:val="en-GB"/>
        </w:rPr>
        <w:lastRenderedPageBreak/>
        <w:t xml:space="preserve">Table </w:t>
      </w:r>
      <w:r>
        <w:fldChar w:fldCharType="begin"/>
      </w:r>
      <w:r w:rsidRPr="003A298E">
        <w:rPr>
          <w:lang w:val="en-GB"/>
        </w:rPr>
        <w:instrText xml:space="preserve"> SEQ Table \* ARABIC </w:instrText>
      </w:r>
      <w:r>
        <w:fldChar w:fldCharType="separate"/>
      </w:r>
      <w:r w:rsidR="00140CF9">
        <w:rPr>
          <w:noProof/>
          <w:lang w:val="en-GB"/>
        </w:rPr>
        <w:t>3</w:t>
      </w:r>
      <w:r>
        <w:fldChar w:fldCharType="end"/>
      </w:r>
      <w:bookmarkEnd w:id="6"/>
      <w:r w:rsidRPr="003A298E">
        <w:rPr>
          <w:lang w:val="en-GB"/>
        </w:rPr>
        <w:t xml:space="preserve">: </w:t>
      </w:r>
      <w:r>
        <w:rPr>
          <w:lang w:val="en-GB"/>
        </w:rPr>
        <w:t>Comparison of model based estimates (Variant 2</w:t>
      </w:r>
      <w:r w:rsidR="005809C0">
        <w:rPr>
          <w:lang w:val="en-GB"/>
        </w:rPr>
        <w:t>a</w:t>
      </w:r>
      <w:r>
        <w:rPr>
          <w:lang w:val="en-GB"/>
        </w:rPr>
        <w:t>)</w:t>
      </w:r>
    </w:p>
    <w:p w:rsidR="00951456" w:rsidRDefault="00D56A7D" w:rsidP="00951456">
      <w:pPr>
        <w:rPr>
          <w:szCs w:val="28"/>
          <w:lang w:val="en-GB"/>
        </w:rPr>
      </w:pPr>
      <w:r w:rsidRPr="00D56A7D">
        <w:rPr>
          <w:noProof/>
          <w:lang w:val="en-US" w:eastAsia="en-US"/>
        </w:rPr>
        <w:drawing>
          <wp:inline distT="0" distB="0" distL="0" distR="0">
            <wp:extent cx="2820670" cy="86233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670" cy="862330"/>
                    </a:xfrm>
                    <a:prstGeom prst="rect">
                      <a:avLst/>
                    </a:prstGeom>
                    <a:noFill/>
                    <a:ln>
                      <a:noFill/>
                    </a:ln>
                  </pic:spPr>
                </pic:pic>
              </a:graphicData>
            </a:graphic>
          </wp:inline>
        </w:drawing>
      </w:r>
    </w:p>
    <w:p w:rsidR="004767F1" w:rsidRPr="005809C0" w:rsidRDefault="005809C0" w:rsidP="009B2097">
      <w:pPr>
        <w:rPr>
          <w:lang w:val="en-GB"/>
        </w:rPr>
      </w:pPr>
      <w:r>
        <w:rPr>
          <w:lang w:val="en-GB"/>
        </w:rPr>
        <w:t xml:space="preserve">In summary, the refined version of variant 2 including stochastic error terms – variant 2a – not only delivers estimates of </w:t>
      </w:r>
      <w:r w:rsidRPr="000E4BF9">
        <w:rPr>
          <w:lang w:val="en-GB"/>
        </w:rPr>
        <w:t>AROP</w:t>
      </w:r>
      <w:r w:rsidRPr="007A5979">
        <w:rPr>
          <w:vertAlign w:val="superscript"/>
          <w:lang w:val="en-GB"/>
        </w:rPr>
        <w:t>(REG)</w:t>
      </w:r>
      <w:r>
        <w:rPr>
          <w:vertAlign w:val="superscript"/>
          <w:lang w:val="en-GB"/>
        </w:rPr>
        <w:t xml:space="preserve"> </w:t>
      </w:r>
      <w:r>
        <w:rPr>
          <w:szCs w:val="28"/>
          <w:lang w:val="en-GB"/>
        </w:rPr>
        <w:t xml:space="preserve">and </w:t>
      </w:r>
      <w:r w:rsidRPr="007A5979">
        <w:rPr>
          <w:lang w:val="en-GB"/>
        </w:rPr>
        <w:t>AROP</w:t>
      </w:r>
      <w:r>
        <w:rPr>
          <w:lang w:val="en-GB"/>
        </w:rPr>
        <w:t>E</w:t>
      </w:r>
      <w:r w:rsidRPr="007A5979">
        <w:rPr>
          <w:vertAlign w:val="superscript"/>
          <w:lang w:val="en-GB"/>
        </w:rPr>
        <w:t>(REG)</w:t>
      </w:r>
      <w:r>
        <w:rPr>
          <w:lang w:val="en-GB"/>
        </w:rPr>
        <w:t xml:space="preserve"> that are based on the same income distributio</w:t>
      </w:r>
      <w:r w:rsidR="001E3A93">
        <w:rPr>
          <w:lang w:val="en-GB"/>
        </w:rPr>
        <w:t>n, it also makes possible micro-</w:t>
      </w:r>
      <w:r>
        <w:rPr>
          <w:lang w:val="en-GB"/>
        </w:rPr>
        <w:t xml:space="preserve">data with estimated values of the household income based mainly on registers possible. However, </w:t>
      </w:r>
      <w:r w:rsidR="001E3A93">
        <w:rPr>
          <w:lang w:val="en-GB"/>
        </w:rPr>
        <w:t xml:space="preserve">caution is advised if these micro-data are used to analyse specific domains of the estimated indicators, because of </w:t>
      </w:r>
      <w:proofErr w:type="spellStart"/>
      <w:r w:rsidR="001E3A93">
        <w:rPr>
          <w:lang w:val="en-GB"/>
        </w:rPr>
        <w:t>i.i.d</w:t>
      </w:r>
      <w:proofErr w:type="spellEnd"/>
      <w:r w:rsidR="001E3A93">
        <w:rPr>
          <w:lang w:val="en-GB"/>
        </w:rPr>
        <w:t xml:space="preserve"> stochastic error terms added to estimated values </w:t>
      </w:r>
      <w:proofErr w:type="gramStart"/>
      <w:r w:rsidR="001E3A93">
        <w:rPr>
          <w:lang w:val="en-GB"/>
        </w:rPr>
        <w:t xml:space="preserve">of </w:t>
      </w:r>
      <w:proofErr w:type="gramEnd"/>
      <m:oMath>
        <m:sSup>
          <m:sSupPr>
            <m:ctrlPr>
              <w:rPr>
                <w:rFonts w:ascii="Cambria Math" w:hAnsi="Cambria Math" w:cs="Arial"/>
                <w:szCs w:val="28"/>
                <w:lang w:val="en-GB"/>
              </w:rPr>
            </m:ctrlPr>
          </m:sSupPr>
          <m:e>
            <m:acc>
              <m:accPr>
                <m:ctrlPr>
                  <w:rPr>
                    <w:rFonts w:ascii="Cambria Math" w:hAnsi="Cambria Math" w:cs="Arial"/>
                    <w:szCs w:val="28"/>
                    <w:lang w:val="en-GB"/>
                  </w:rPr>
                </m:ctrlPr>
              </m:accPr>
              <m:e>
                <m:r>
                  <m:rPr>
                    <m:sty m:val="p"/>
                  </m:rPr>
                  <w:rPr>
                    <w:rFonts w:ascii="Cambria Math" w:hAnsi="Cambria Math" w:cs="Arial"/>
                    <w:szCs w:val="28"/>
                    <w:lang w:val="en-GB"/>
                  </w:rPr>
                  <m:t>HINC</m:t>
                </m:r>
              </m:e>
            </m:acc>
          </m:e>
          <m:sup>
            <m:r>
              <m:rPr>
                <m:sty m:val="p"/>
              </m:rPr>
              <w:rPr>
                <w:rFonts w:ascii="Cambria Math" w:hAnsi="Cambria Math" w:cs="Arial"/>
                <w:szCs w:val="28"/>
                <w:lang w:val="en-GB"/>
              </w:rPr>
              <m:t>(REG)</m:t>
            </m:r>
          </m:sup>
        </m:sSup>
      </m:oMath>
      <w:r w:rsidR="001E3A93">
        <w:rPr>
          <w:szCs w:val="28"/>
          <w:lang w:val="en-GB"/>
        </w:rPr>
        <w:t>.</w:t>
      </w:r>
    </w:p>
    <w:p w:rsidR="00720E1A" w:rsidRDefault="00720E1A" w:rsidP="009B2097">
      <w:pPr>
        <w:rPr>
          <w:lang w:val="en-GB"/>
        </w:rPr>
      </w:pPr>
    </w:p>
    <w:p w:rsidR="00B434A7" w:rsidRPr="009B2097" w:rsidRDefault="00CA6C30" w:rsidP="00B434A7">
      <w:pPr>
        <w:rPr>
          <w:i/>
          <w:lang w:val="en-GB"/>
        </w:rPr>
      </w:pPr>
      <w:r>
        <w:rPr>
          <w:i/>
          <w:lang w:val="en-GB"/>
        </w:rPr>
        <w:t>Variant</w:t>
      </w:r>
      <w:r w:rsidR="00B434A7">
        <w:rPr>
          <w:i/>
          <w:lang w:val="en-GB"/>
        </w:rPr>
        <w:t xml:space="preserve"> </w:t>
      </w:r>
      <w:r w:rsidR="00357A86">
        <w:rPr>
          <w:i/>
          <w:lang w:val="en-GB"/>
        </w:rPr>
        <w:t>3</w:t>
      </w:r>
      <w:r w:rsidR="00B434A7" w:rsidRPr="009B2097">
        <w:rPr>
          <w:i/>
          <w:lang w:val="en-GB"/>
        </w:rPr>
        <w:t xml:space="preserve">) </w:t>
      </w:r>
      <w:r w:rsidR="00B434A7">
        <w:rPr>
          <w:i/>
          <w:lang w:val="en-GB"/>
        </w:rPr>
        <w:t xml:space="preserve">Estimating </w:t>
      </w:r>
      <w:r w:rsidR="002E4CD0">
        <w:rPr>
          <w:i/>
          <w:lang w:val="en-GB"/>
        </w:rPr>
        <w:t xml:space="preserve">the </w:t>
      </w:r>
      <w:r w:rsidR="00B434A7">
        <w:rPr>
          <w:i/>
          <w:lang w:val="en-GB"/>
        </w:rPr>
        <w:t>difference of household income versions</w:t>
      </w:r>
    </w:p>
    <w:p w:rsidR="00B07D6C" w:rsidRDefault="00D94F30" w:rsidP="009B2097">
      <w:pPr>
        <w:rPr>
          <w:lang w:val="en-GB"/>
        </w:rPr>
      </w:pPr>
      <w:r>
        <w:rPr>
          <w:lang w:val="en-GB"/>
        </w:rPr>
        <w:t>Instead of estimating the entire household</w:t>
      </w:r>
      <w:r w:rsidR="00F811C0">
        <w:rPr>
          <w:lang w:val="en-GB"/>
        </w:rPr>
        <w:t xml:space="preserve"> income</w:t>
      </w:r>
      <w:r>
        <w:rPr>
          <w:lang w:val="en-GB"/>
        </w:rPr>
        <w:t xml:space="preserve"> distribution another approach would be to identify groups of households with a substantial difference of </w:t>
      </w:r>
      <w:r w:rsidR="00B07D6C">
        <w:rPr>
          <w:lang w:val="en-GB"/>
        </w:rPr>
        <w:t>HINC</w:t>
      </w:r>
      <w:r>
        <w:rPr>
          <w:lang w:val="en-GB"/>
        </w:rPr>
        <w:t xml:space="preserve"> and </w:t>
      </w:r>
      <w:proofErr w:type="gramStart"/>
      <w:r w:rsidR="00B07D6C">
        <w:rPr>
          <w:szCs w:val="28"/>
          <w:lang w:val="en-GB"/>
        </w:rPr>
        <w:t>HINC</w:t>
      </w:r>
      <w:r w:rsidR="00B07D6C" w:rsidRPr="000E4BF9">
        <w:rPr>
          <w:szCs w:val="28"/>
          <w:vertAlign w:val="superscript"/>
          <w:lang w:val="en-GB"/>
        </w:rPr>
        <w:t>(</w:t>
      </w:r>
      <w:proofErr w:type="gramEnd"/>
      <w:r w:rsidR="00B07D6C" w:rsidRPr="000E4BF9">
        <w:rPr>
          <w:szCs w:val="28"/>
          <w:vertAlign w:val="superscript"/>
          <w:lang w:val="en-GB"/>
        </w:rPr>
        <w:t>REG)</w:t>
      </w:r>
      <w:r w:rsidR="00B07D6C">
        <w:rPr>
          <w:szCs w:val="28"/>
          <w:lang w:val="en-GB"/>
        </w:rPr>
        <w:t>.</w:t>
      </w:r>
      <w:r>
        <w:rPr>
          <w:lang w:val="en-GB"/>
        </w:rPr>
        <w:t xml:space="preserve"> </w:t>
      </w:r>
      <w:r w:rsidR="00513020">
        <w:rPr>
          <w:lang w:val="en-GB"/>
        </w:rPr>
        <w:t xml:space="preserve">The main goal of estimating a new household income is to model the effect that register data have on the already existing results on household income measured by </w:t>
      </w:r>
      <w:r w:rsidR="002506E2">
        <w:rPr>
          <w:lang w:val="en-GB"/>
        </w:rPr>
        <w:t>interview</w:t>
      </w:r>
      <w:r w:rsidR="000B655E">
        <w:rPr>
          <w:lang w:val="en-GB"/>
        </w:rPr>
        <w:t>s</w:t>
      </w:r>
      <w:r w:rsidR="00513020">
        <w:rPr>
          <w:lang w:val="en-GB"/>
        </w:rPr>
        <w:t xml:space="preserve">. If the difference between these two versions of household income is non-existent or negligible for specific households, only households with a notable difference </w:t>
      </w:r>
      <w:r w:rsidR="00B07D6C">
        <w:rPr>
          <w:lang w:val="en-GB"/>
        </w:rPr>
        <w:t>of</w:t>
      </w:r>
      <w:r w:rsidR="00513020">
        <w:rPr>
          <w:lang w:val="en-GB"/>
        </w:rPr>
        <w:t xml:space="preserve"> income versions are of concern. This approach would reduce the estimation effort to this latter category of households. In order to use such a model for predicting the register data effect for the years 2008-2010 two steps are necessary: Firstly, the likelihood of experiencing a substantial difference in income versions has to be classified and second</w:t>
      </w:r>
      <w:r w:rsidR="00FF51B3">
        <w:rPr>
          <w:lang w:val="en-GB"/>
        </w:rPr>
        <w:t>ly</w:t>
      </w:r>
      <w:r w:rsidR="00513020">
        <w:rPr>
          <w:lang w:val="en-GB"/>
        </w:rPr>
        <w:t xml:space="preserve">, the amount of the difference between household income from registers or the </w:t>
      </w:r>
      <w:r w:rsidR="002506E2">
        <w:rPr>
          <w:lang w:val="en-GB"/>
        </w:rPr>
        <w:t>interview</w:t>
      </w:r>
      <w:r w:rsidR="00513020">
        <w:rPr>
          <w:lang w:val="en-GB"/>
        </w:rPr>
        <w:t xml:space="preserve"> has to be estimated</w:t>
      </w:r>
      <w:r w:rsidR="00FF51B3">
        <w:rPr>
          <w:lang w:val="en-GB"/>
        </w:rPr>
        <w:t xml:space="preserve">. The advantage of </w:t>
      </w:r>
      <w:r w:rsidR="00B07D6C">
        <w:rPr>
          <w:lang w:val="en-GB"/>
        </w:rPr>
        <w:t>variant </w:t>
      </w:r>
      <w:r w:rsidR="00FF51B3">
        <w:rPr>
          <w:lang w:val="en-GB"/>
        </w:rPr>
        <w:t xml:space="preserve">3 is that the register data effect can be explicitly modelled whereas it is only implicitly incorporated in </w:t>
      </w:r>
      <w:r w:rsidR="00B07D6C">
        <w:rPr>
          <w:lang w:val="en-GB"/>
        </w:rPr>
        <w:t>variant</w:t>
      </w:r>
      <w:r w:rsidR="00FF51B3">
        <w:rPr>
          <w:lang w:val="en-GB"/>
        </w:rPr>
        <w:t xml:space="preserve"> 2 as </w:t>
      </w:r>
      <w:r w:rsidR="000B655E">
        <w:rPr>
          <w:lang w:val="en-GB"/>
        </w:rPr>
        <w:t xml:space="preserve">an </w:t>
      </w:r>
      <w:r w:rsidR="00FF51B3">
        <w:rPr>
          <w:lang w:val="en-GB"/>
        </w:rPr>
        <w:t xml:space="preserve">additional predictor. On the other hand, </w:t>
      </w:r>
      <w:r w:rsidR="00B07D6C">
        <w:rPr>
          <w:lang w:val="en-GB"/>
        </w:rPr>
        <w:t>variant</w:t>
      </w:r>
      <w:r w:rsidR="00FF51B3">
        <w:rPr>
          <w:lang w:val="en-GB"/>
        </w:rPr>
        <w:t xml:space="preserve"> 3 requires two models that are dependent on each other because the outcome of the first model is a predictor </w:t>
      </w:r>
      <w:r w:rsidR="000B655E">
        <w:rPr>
          <w:lang w:val="en-GB"/>
        </w:rPr>
        <w:t>in</w:t>
      </w:r>
      <w:r w:rsidR="00FF51B3">
        <w:rPr>
          <w:lang w:val="en-GB"/>
        </w:rPr>
        <w:t xml:space="preserve"> the second one. </w:t>
      </w:r>
      <w:r w:rsidR="00B07D6C">
        <w:rPr>
          <w:lang w:val="en-GB"/>
        </w:rPr>
        <w:t>In order to assess the scope of</w:t>
      </w:r>
      <w:r w:rsidR="00B21145">
        <w:rPr>
          <w:lang w:val="en-GB"/>
        </w:rPr>
        <w:t xml:space="preserve"> the</w:t>
      </w:r>
      <w:r w:rsidR="00B07D6C">
        <w:rPr>
          <w:lang w:val="en-GB"/>
        </w:rPr>
        <w:t xml:space="preserve"> </w:t>
      </w:r>
      <w:r w:rsidR="00B21145">
        <w:rPr>
          <w:lang w:val="en-GB"/>
        </w:rPr>
        <w:t>deviation</w:t>
      </w:r>
      <w:r w:rsidR="00B07D6C">
        <w:rPr>
          <w:lang w:val="en-GB"/>
        </w:rPr>
        <w:t xml:space="preserve"> </w:t>
      </w:r>
      <w:r w:rsidR="00B21145">
        <w:rPr>
          <w:lang w:val="en-GB"/>
        </w:rPr>
        <w:t xml:space="preserve">of HINC from </w:t>
      </w:r>
      <w:proofErr w:type="gramStart"/>
      <w:r w:rsidR="00B21145">
        <w:rPr>
          <w:szCs w:val="28"/>
          <w:lang w:val="en-GB"/>
        </w:rPr>
        <w:t>HINC</w:t>
      </w:r>
      <w:r w:rsidR="00B21145" w:rsidRPr="000E4BF9">
        <w:rPr>
          <w:szCs w:val="28"/>
          <w:vertAlign w:val="superscript"/>
          <w:lang w:val="en-GB"/>
        </w:rPr>
        <w:t>(</w:t>
      </w:r>
      <w:proofErr w:type="gramEnd"/>
      <w:r w:rsidR="00B21145" w:rsidRPr="000E4BF9">
        <w:rPr>
          <w:szCs w:val="28"/>
          <w:vertAlign w:val="superscript"/>
          <w:lang w:val="en-GB"/>
        </w:rPr>
        <w:t>REG)</w:t>
      </w:r>
      <w:r w:rsidR="00B21145">
        <w:rPr>
          <w:szCs w:val="28"/>
          <w:lang w:val="en-GB"/>
        </w:rPr>
        <w:t xml:space="preserve"> the distribution of the difference </w:t>
      </w:r>
      <w:r w:rsidR="00B21145">
        <w:rPr>
          <w:lang w:val="en-GB"/>
        </w:rPr>
        <w:t>HINC-</w:t>
      </w:r>
      <w:r w:rsidR="00B21145">
        <w:rPr>
          <w:szCs w:val="28"/>
          <w:lang w:val="en-GB"/>
        </w:rPr>
        <w:t>HINC</w:t>
      </w:r>
      <w:r w:rsidR="00B21145" w:rsidRPr="000E4BF9">
        <w:rPr>
          <w:szCs w:val="28"/>
          <w:vertAlign w:val="superscript"/>
          <w:lang w:val="en-GB"/>
        </w:rPr>
        <w:t>(REG)</w:t>
      </w:r>
      <w:r w:rsidR="00B21145">
        <w:rPr>
          <w:szCs w:val="28"/>
          <w:lang w:val="en-GB"/>
        </w:rPr>
        <w:t xml:space="preserve"> was analysed (excluding the lowest and highest percentile). </w:t>
      </w:r>
      <w:r w:rsidR="00E3754D">
        <w:rPr>
          <w:szCs w:val="28"/>
          <w:lang w:val="en-GB"/>
        </w:rPr>
        <w:t xml:space="preserve">About 10% of households had a zero difference between </w:t>
      </w:r>
      <w:r w:rsidR="00E3754D">
        <w:rPr>
          <w:lang w:val="en-GB"/>
        </w:rPr>
        <w:t xml:space="preserve">HINC and </w:t>
      </w:r>
      <w:proofErr w:type="gramStart"/>
      <w:r w:rsidR="00E3754D">
        <w:rPr>
          <w:szCs w:val="28"/>
          <w:lang w:val="en-GB"/>
        </w:rPr>
        <w:t>HINC</w:t>
      </w:r>
      <w:r w:rsidR="00E3754D" w:rsidRPr="000E4BF9">
        <w:rPr>
          <w:szCs w:val="28"/>
          <w:vertAlign w:val="superscript"/>
          <w:lang w:val="en-GB"/>
        </w:rPr>
        <w:t>(</w:t>
      </w:r>
      <w:proofErr w:type="gramEnd"/>
      <w:r w:rsidR="00E3754D" w:rsidRPr="000E4BF9">
        <w:rPr>
          <w:szCs w:val="28"/>
          <w:vertAlign w:val="superscript"/>
          <w:lang w:val="en-GB"/>
        </w:rPr>
        <w:t>REG)</w:t>
      </w:r>
      <w:r w:rsidR="00E3754D">
        <w:rPr>
          <w:szCs w:val="28"/>
          <w:lang w:val="en-GB"/>
        </w:rPr>
        <w:t>. However, also small differences should be left out of the estimation of the difference</w:t>
      </w:r>
      <w:r w:rsidR="000C07A2">
        <w:rPr>
          <w:szCs w:val="28"/>
          <w:lang w:val="en-GB"/>
        </w:rPr>
        <w:t xml:space="preserve"> of household incomes</w:t>
      </w:r>
      <w:r w:rsidR="00E3754D">
        <w:rPr>
          <w:szCs w:val="28"/>
          <w:lang w:val="en-GB"/>
        </w:rPr>
        <w:t xml:space="preserve">. </w:t>
      </w:r>
      <w:r w:rsidR="00D92F99">
        <w:rPr>
          <w:szCs w:val="28"/>
          <w:lang w:val="en-GB"/>
        </w:rPr>
        <w:t>Based on the</w:t>
      </w:r>
      <w:r w:rsidR="00C61533">
        <w:rPr>
          <w:szCs w:val="28"/>
          <w:lang w:val="en-GB"/>
        </w:rPr>
        <w:t xml:space="preserve"> corresponding</w:t>
      </w:r>
      <w:r w:rsidR="00D92F99">
        <w:rPr>
          <w:szCs w:val="28"/>
          <w:lang w:val="en-GB"/>
        </w:rPr>
        <w:t xml:space="preserve"> </w:t>
      </w:r>
      <w:r w:rsidR="00C61533">
        <w:rPr>
          <w:szCs w:val="28"/>
          <w:lang w:val="en-GB"/>
        </w:rPr>
        <w:t>percentiles also differences of household incomes small</w:t>
      </w:r>
      <w:r w:rsidR="000B655E">
        <w:rPr>
          <w:szCs w:val="28"/>
          <w:lang w:val="en-GB"/>
        </w:rPr>
        <w:t>er</w:t>
      </w:r>
      <w:r w:rsidR="00C61533">
        <w:rPr>
          <w:szCs w:val="28"/>
          <w:lang w:val="en-GB"/>
        </w:rPr>
        <w:t xml:space="preserve"> than </w:t>
      </w:r>
      <w:r w:rsidR="00D92F99">
        <w:rPr>
          <w:szCs w:val="28"/>
          <w:lang w:val="en-GB"/>
        </w:rPr>
        <w:t>+/- 18.5 Euro where deemed as not relevant.</w:t>
      </w:r>
      <w:r w:rsidR="000C07A2">
        <w:rPr>
          <w:szCs w:val="28"/>
          <w:lang w:val="en-GB"/>
        </w:rPr>
        <w:t xml:space="preserve"> In order to estimate if the difference of </w:t>
      </w:r>
      <w:r w:rsidR="000C07A2">
        <w:rPr>
          <w:lang w:val="en-GB"/>
        </w:rPr>
        <w:t xml:space="preserve">HINC and </w:t>
      </w:r>
      <w:proofErr w:type="gramStart"/>
      <w:r w:rsidR="000C07A2">
        <w:rPr>
          <w:szCs w:val="28"/>
          <w:lang w:val="en-GB"/>
        </w:rPr>
        <w:t>HINC</w:t>
      </w:r>
      <w:r w:rsidR="000C07A2" w:rsidRPr="000E4BF9">
        <w:rPr>
          <w:szCs w:val="28"/>
          <w:vertAlign w:val="superscript"/>
          <w:lang w:val="en-GB"/>
        </w:rPr>
        <w:t>(</w:t>
      </w:r>
      <w:proofErr w:type="gramEnd"/>
      <w:r w:rsidR="000C07A2" w:rsidRPr="000E4BF9">
        <w:rPr>
          <w:szCs w:val="28"/>
          <w:vertAlign w:val="superscript"/>
          <w:lang w:val="en-GB"/>
        </w:rPr>
        <w:t>REG)</w:t>
      </w:r>
      <w:r w:rsidR="000C07A2">
        <w:rPr>
          <w:szCs w:val="28"/>
          <w:lang w:val="en-GB"/>
        </w:rPr>
        <w:t xml:space="preserve"> is within these margins a stepwise discriminant analysis </w:t>
      </w:r>
      <w:r w:rsidR="00E64074">
        <w:rPr>
          <w:szCs w:val="28"/>
          <w:lang w:val="en-GB"/>
        </w:rPr>
        <w:t xml:space="preserve">with a linear discriminant function </w:t>
      </w:r>
      <w:r w:rsidR="000C07A2">
        <w:rPr>
          <w:szCs w:val="28"/>
          <w:lang w:val="en-GB"/>
        </w:rPr>
        <w:t xml:space="preserve">was carried out. </w:t>
      </w:r>
      <w:r w:rsidR="00E64074">
        <w:rPr>
          <w:szCs w:val="28"/>
          <w:lang w:val="en-GB"/>
        </w:rPr>
        <w:t xml:space="preserve">The results showed that 85% of </w:t>
      </w:r>
      <w:r w:rsidR="00A15F3D">
        <w:rPr>
          <w:szCs w:val="28"/>
          <w:lang w:val="en-GB"/>
        </w:rPr>
        <w:t xml:space="preserve">the differences defined </w:t>
      </w:r>
      <w:r w:rsidR="00A15F3D">
        <w:rPr>
          <w:szCs w:val="28"/>
          <w:lang w:val="en-GB"/>
        </w:rPr>
        <w:lastRenderedPageBreak/>
        <w:t xml:space="preserve">as relevant where also correctly classified as such by the model. For the households with </w:t>
      </w:r>
      <w:r w:rsidR="00A15F3D">
        <w:rPr>
          <w:szCs w:val="28"/>
          <w:lang w:val="en-GB"/>
        </w:rPr>
        <w:br/>
        <w:t>|</w:t>
      </w:r>
      <w:r w:rsidR="00A15F3D">
        <w:rPr>
          <w:lang w:val="en-GB"/>
        </w:rPr>
        <w:t>HINC-</w:t>
      </w:r>
      <w:proofErr w:type="gramStart"/>
      <w:r w:rsidR="00A15F3D">
        <w:rPr>
          <w:szCs w:val="28"/>
          <w:lang w:val="en-GB"/>
        </w:rPr>
        <w:t>HINC</w:t>
      </w:r>
      <w:r w:rsidR="00A15F3D" w:rsidRPr="000E4BF9">
        <w:rPr>
          <w:szCs w:val="28"/>
          <w:vertAlign w:val="superscript"/>
          <w:lang w:val="en-GB"/>
        </w:rPr>
        <w:t>(</w:t>
      </w:r>
      <w:proofErr w:type="gramEnd"/>
      <w:r w:rsidR="00A15F3D" w:rsidRPr="000E4BF9">
        <w:rPr>
          <w:szCs w:val="28"/>
          <w:vertAlign w:val="superscript"/>
          <w:lang w:val="en-GB"/>
        </w:rPr>
        <w:t>REG)</w:t>
      </w:r>
      <w:r w:rsidR="00A15F3D">
        <w:rPr>
          <w:szCs w:val="28"/>
          <w:lang w:val="en-GB"/>
        </w:rPr>
        <w:t xml:space="preserve">| ≥ 18.5 a stepwise linear regression model </w:t>
      </w:r>
      <w:r w:rsidR="000B655E">
        <w:rPr>
          <w:szCs w:val="28"/>
          <w:lang w:val="en-GB"/>
        </w:rPr>
        <w:t>similar to the one</w:t>
      </w:r>
      <w:r w:rsidR="00A15F3D">
        <w:rPr>
          <w:szCs w:val="28"/>
          <w:lang w:val="en-GB"/>
        </w:rPr>
        <w:t xml:space="preserve"> in formula (3) was carried out</w:t>
      </w:r>
      <w:r w:rsidR="00753122">
        <w:rPr>
          <w:szCs w:val="28"/>
          <w:lang w:val="en-GB"/>
        </w:rPr>
        <w:t xml:space="preserve"> resulting in a low model fit (R</w:t>
      </w:r>
      <w:r w:rsidR="00753122">
        <w:rPr>
          <w:szCs w:val="28"/>
          <w:vertAlign w:val="superscript"/>
          <w:lang w:val="en-GB"/>
        </w:rPr>
        <w:t>2</w:t>
      </w:r>
      <w:r w:rsidR="00753122">
        <w:rPr>
          <w:szCs w:val="28"/>
          <w:lang w:val="en-GB"/>
        </w:rPr>
        <w:t>=0.10)</w:t>
      </w:r>
      <w:r w:rsidR="00A15F3D">
        <w:rPr>
          <w:szCs w:val="28"/>
          <w:lang w:val="en-GB"/>
        </w:rPr>
        <w:t xml:space="preserve">. Applying the two modelling steps to the EU-SILC 2011 interview income data resulted in an overestimation of </w:t>
      </w:r>
      <w:proofErr w:type="gramStart"/>
      <w:r w:rsidR="00A15F3D" w:rsidRPr="000E4BF9">
        <w:rPr>
          <w:lang w:val="en-GB"/>
        </w:rPr>
        <w:t>AROP</w:t>
      </w:r>
      <w:r w:rsidR="00A15F3D" w:rsidRPr="007A5979">
        <w:rPr>
          <w:vertAlign w:val="superscript"/>
          <w:lang w:val="en-GB"/>
        </w:rPr>
        <w:t>(</w:t>
      </w:r>
      <w:proofErr w:type="gramEnd"/>
      <w:r w:rsidR="00A15F3D" w:rsidRPr="007A5979">
        <w:rPr>
          <w:vertAlign w:val="superscript"/>
          <w:lang w:val="en-GB"/>
        </w:rPr>
        <w:t>REG)</w:t>
      </w:r>
      <w:r w:rsidR="00A15F3D">
        <w:rPr>
          <w:lang w:val="en-GB"/>
        </w:rPr>
        <w:t xml:space="preserve"> and only a very slight overestimation of </w:t>
      </w:r>
      <w:r w:rsidR="00A15F3D" w:rsidRPr="000E4BF9">
        <w:rPr>
          <w:lang w:val="en-GB"/>
        </w:rPr>
        <w:t>AROP</w:t>
      </w:r>
      <w:r w:rsidR="00A15F3D">
        <w:rPr>
          <w:lang w:val="en-GB"/>
        </w:rPr>
        <w:t>E</w:t>
      </w:r>
      <w:r w:rsidR="00A15F3D" w:rsidRPr="007A5979">
        <w:rPr>
          <w:vertAlign w:val="superscript"/>
          <w:lang w:val="en-GB"/>
        </w:rPr>
        <w:t>(REG)</w:t>
      </w:r>
      <w:r w:rsidR="00806ABB">
        <w:rPr>
          <w:lang w:val="en-GB"/>
        </w:rPr>
        <w:t xml:space="preserve"> as is presented in </w:t>
      </w:r>
      <w:r w:rsidR="00806ABB">
        <w:rPr>
          <w:lang w:val="en-GB"/>
        </w:rPr>
        <w:fldChar w:fldCharType="begin"/>
      </w:r>
      <w:r w:rsidR="00806ABB">
        <w:rPr>
          <w:lang w:val="en-GB"/>
        </w:rPr>
        <w:instrText xml:space="preserve"> REF _Ref388981623 \h </w:instrText>
      </w:r>
      <w:r w:rsidR="00806ABB">
        <w:rPr>
          <w:lang w:val="en-GB"/>
        </w:rPr>
      </w:r>
      <w:r w:rsidR="00806ABB">
        <w:rPr>
          <w:lang w:val="en-GB"/>
        </w:rPr>
        <w:fldChar w:fldCharType="separate"/>
      </w:r>
      <w:r w:rsidR="00140CF9" w:rsidRPr="003A298E">
        <w:rPr>
          <w:lang w:val="en-GB"/>
        </w:rPr>
        <w:t xml:space="preserve">Table </w:t>
      </w:r>
      <w:r w:rsidR="00140CF9">
        <w:rPr>
          <w:noProof/>
          <w:lang w:val="en-GB"/>
        </w:rPr>
        <w:t>4</w:t>
      </w:r>
      <w:r w:rsidR="00806ABB">
        <w:rPr>
          <w:lang w:val="en-GB"/>
        </w:rPr>
        <w:fldChar w:fldCharType="end"/>
      </w:r>
      <w:r w:rsidR="00806ABB">
        <w:rPr>
          <w:lang w:val="en-GB"/>
        </w:rPr>
        <w:t>.</w:t>
      </w:r>
    </w:p>
    <w:p w:rsidR="00806ABB" w:rsidRPr="00A15F3D" w:rsidRDefault="00806ABB" w:rsidP="00806ABB">
      <w:pPr>
        <w:pStyle w:val="Caption"/>
        <w:keepNext/>
        <w:keepLines/>
        <w:rPr>
          <w:lang w:val="en-GB"/>
        </w:rPr>
      </w:pPr>
      <w:bookmarkStart w:id="7" w:name="_Ref388981623"/>
      <w:r w:rsidRPr="003A298E">
        <w:rPr>
          <w:lang w:val="en-GB"/>
        </w:rPr>
        <w:t xml:space="preserve">Table </w:t>
      </w:r>
      <w:r>
        <w:fldChar w:fldCharType="begin"/>
      </w:r>
      <w:r w:rsidRPr="003A298E">
        <w:rPr>
          <w:lang w:val="en-GB"/>
        </w:rPr>
        <w:instrText xml:space="preserve"> SEQ Table \* ARABIC </w:instrText>
      </w:r>
      <w:r>
        <w:fldChar w:fldCharType="separate"/>
      </w:r>
      <w:r w:rsidR="00140CF9">
        <w:rPr>
          <w:noProof/>
          <w:lang w:val="en-GB"/>
        </w:rPr>
        <w:t>4</w:t>
      </w:r>
      <w:r>
        <w:fldChar w:fldCharType="end"/>
      </w:r>
      <w:bookmarkEnd w:id="7"/>
      <w:r w:rsidRPr="003A298E">
        <w:rPr>
          <w:lang w:val="en-GB"/>
        </w:rPr>
        <w:t xml:space="preserve">: </w:t>
      </w:r>
      <w:r>
        <w:rPr>
          <w:lang w:val="en-GB"/>
        </w:rPr>
        <w:t>Comparison of model based estimates (Variant 3)</w:t>
      </w:r>
    </w:p>
    <w:p w:rsidR="00B07D6C" w:rsidRDefault="00D56A7D" w:rsidP="009B2097">
      <w:pPr>
        <w:rPr>
          <w:lang w:val="en-GB"/>
        </w:rPr>
      </w:pPr>
      <w:r w:rsidRPr="00D56A7D">
        <w:rPr>
          <w:noProof/>
          <w:lang w:val="en-US" w:eastAsia="en-US"/>
        </w:rPr>
        <w:drawing>
          <wp:inline distT="0" distB="0" distL="0" distR="0">
            <wp:extent cx="2708910" cy="888365"/>
            <wp:effectExtent l="0" t="0" r="0" b="698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8910" cy="888365"/>
                    </a:xfrm>
                    <a:prstGeom prst="rect">
                      <a:avLst/>
                    </a:prstGeom>
                    <a:noFill/>
                    <a:ln>
                      <a:noFill/>
                    </a:ln>
                  </pic:spPr>
                </pic:pic>
              </a:graphicData>
            </a:graphic>
          </wp:inline>
        </w:drawing>
      </w:r>
    </w:p>
    <w:p w:rsidR="00806ABB" w:rsidRDefault="00806ABB" w:rsidP="00806ABB">
      <w:pPr>
        <w:pStyle w:val="Heading1"/>
        <w:rPr>
          <w:lang w:val="en-GB"/>
        </w:rPr>
      </w:pPr>
      <w:r>
        <w:rPr>
          <w:lang w:val="en-GB"/>
        </w:rPr>
        <w:t>The role of weighting</w:t>
      </w:r>
    </w:p>
    <w:p w:rsidR="00263CFB" w:rsidRDefault="002506E2" w:rsidP="00806ABB">
      <w:pPr>
        <w:rPr>
          <w:lang w:val="en-GB"/>
        </w:rPr>
      </w:pPr>
      <w:r>
        <w:rPr>
          <w:lang w:val="en-GB"/>
        </w:rPr>
        <w:t xml:space="preserve">The usage of registers </w:t>
      </w:r>
      <w:r w:rsidR="001C4E57">
        <w:rPr>
          <w:lang w:val="en-GB"/>
        </w:rPr>
        <w:t>did</w:t>
      </w:r>
      <w:r>
        <w:rPr>
          <w:lang w:val="en-GB"/>
        </w:rPr>
        <w:t xml:space="preserve"> not only </w:t>
      </w:r>
      <w:r w:rsidR="001C4E57">
        <w:rPr>
          <w:lang w:val="en-GB"/>
        </w:rPr>
        <w:t>change income measurement for EU-SILC, also the weighting scheme was expanded because of the availability of more marginal distribution that could be used in calibration of weights. EU-SILC facilitates case weights on household level that are also applied on personal level to each inhabitant. From EU</w:t>
      </w:r>
      <w:r w:rsidR="001C4E57">
        <w:rPr>
          <w:lang w:val="en-GB"/>
        </w:rPr>
        <w:noBreakHyphen/>
        <w:t xml:space="preserve">SILC 2012 </w:t>
      </w:r>
      <w:r w:rsidR="00263CFB">
        <w:rPr>
          <w:lang w:val="en-GB"/>
        </w:rPr>
        <w:t xml:space="preserve">onwards </w:t>
      </w:r>
      <w:r w:rsidR="001C4E57">
        <w:rPr>
          <w:lang w:val="en-GB"/>
        </w:rPr>
        <w:t xml:space="preserve">weights are calibrated to the number of employees </w:t>
      </w:r>
      <w:r w:rsidR="00D56A7D">
        <w:rPr>
          <w:lang w:val="en-GB"/>
        </w:rPr>
        <w:t>(aged 1</w:t>
      </w:r>
      <w:r w:rsidR="000B655E">
        <w:rPr>
          <w:lang w:val="en-GB"/>
        </w:rPr>
        <w:t>5 y</w:t>
      </w:r>
      <w:r w:rsidR="00D56A7D">
        <w:rPr>
          <w:lang w:val="en-GB"/>
        </w:rPr>
        <w:t>ears or older</w:t>
      </w:r>
      <w:r w:rsidR="001C4E57">
        <w:rPr>
          <w:lang w:val="en-GB"/>
        </w:rPr>
        <w:t xml:space="preserve">) and retirees </w:t>
      </w:r>
      <w:r w:rsidR="000B655E">
        <w:rPr>
          <w:lang w:val="en-GB"/>
        </w:rPr>
        <w:t>based on</w:t>
      </w:r>
      <w:r w:rsidR="001C4E57">
        <w:rPr>
          <w:lang w:val="en-GB"/>
        </w:rPr>
        <w:t xml:space="preserve"> the wage tax register in addition to the already used marginal distribution</w:t>
      </w:r>
      <w:r w:rsidR="00263CFB">
        <w:rPr>
          <w:lang w:val="en-GB"/>
        </w:rPr>
        <w:t>.</w:t>
      </w:r>
      <w:r w:rsidR="00D56A7D">
        <w:rPr>
          <w:rStyle w:val="FootnoteReference"/>
          <w:lang w:val="en-GB"/>
        </w:rPr>
        <w:footnoteReference w:id="9"/>
      </w:r>
      <w:r w:rsidR="00263CFB">
        <w:rPr>
          <w:lang w:val="en-GB"/>
        </w:rPr>
        <w:t xml:space="preserve"> </w:t>
      </w:r>
    </w:p>
    <w:p w:rsidR="007D7FF9" w:rsidRDefault="002651B6" w:rsidP="00806ABB">
      <w:pPr>
        <w:rPr>
          <w:lang w:val="en-GB"/>
        </w:rPr>
      </w:pPr>
      <w:r>
        <w:rPr>
          <w:lang w:val="en-GB"/>
        </w:rPr>
        <w:t>However, a</w:t>
      </w:r>
      <w:r w:rsidR="00263CFB">
        <w:rPr>
          <w:lang w:val="en-GB"/>
        </w:rPr>
        <w:t xml:space="preserve">ll the models </w:t>
      </w:r>
      <w:r>
        <w:rPr>
          <w:lang w:val="en-GB"/>
        </w:rPr>
        <w:t>described in</w:t>
      </w:r>
      <w:r w:rsidR="00263CFB">
        <w:rPr>
          <w:lang w:val="en-GB"/>
        </w:rPr>
        <w:t xml:space="preserve"> the previous section</w:t>
      </w:r>
      <w:r>
        <w:rPr>
          <w:lang w:val="en-GB"/>
        </w:rPr>
        <w:t xml:space="preserve"> were fitted without these weights, because most of the relevant variables used in weighting, especially in calibration, are also predictors in the model</w:t>
      </w:r>
      <w:r w:rsidR="000B655E">
        <w:rPr>
          <w:lang w:val="en-GB"/>
        </w:rPr>
        <w:t>s</w:t>
      </w:r>
      <w:r w:rsidR="003F0B3C">
        <w:rPr>
          <w:lang w:val="en-GB"/>
        </w:rPr>
        <w:t xml:space="preserve"> [</w:t>
      </w:r>
      <w:r w:rsidR="000B655E">
        <w:rPr>
          <w:lang w:val="en-GB"/>
        </w:rPr>
        <w:t>4</w:t>
      </w:r>
      <w:r w:rsidR="003F0B3C">
        <w:rPr>
          <w:lang w:val="en-GB"/>
        </w:rPr>
        <w:t>]</w:t>
      </w:r>
      <w:r>
        <w:rPr>
          <w:lang w:val="en-GB"/>
        </w:rPr>
        <w:t xml:space="preserve">. </w:t>
      </w:r>
      <w:r w:rsidR="0018502D">
        <w:rPr>
          <w:lang w:val="en-GB"/>
        </w:rPr>
        <w:t>Also linear regression models fitted by OLS are unbiased and are most efficient according to the Gauss-Markov theorem, so OLS should be used</w:t>
      </w:r>
      <w:r w:rsidR="00550C3E">
        <w:rPr>
          <w:lang w:val="en-GB"/>
        </w:rPr>
        <w:t xml:space="preserve"> </w:t>
      </w:r>
      <w:r w:rsidR="0018502D">
        <w:rPr>
          <w:lang w:val="en-GB"/>
        </w:rPr>
        <w:t>preferably</w:t>
      </w:r>
      <w:r w:rsidR="00550C3E">
        <w:rPr>
          <w:lang w:val="en-GB"/>
        </w:rPr>
        <w:t xml:space="preserve"> in the case of linear regression</w:t>
      </w:r>
      <w:r w:rsidR="0018502D">
        <w:rPr>
          <w:lang w:val="en-GB"/>
        </w:rPr>
        <w:t xml:space="preserve"> </w:t>
      </w:r>
      <w:r w:rsidR="003F0B3C">
        <w:rPr>
          <w:lang w:val="en-GB"/>
        </w:rPr>
        <w:t>[</w:t>
      </w:r>
      <w:r w:rsidR="000B655E">
        <w:rPr>
          <w:lang w:val="en-GB"/>
        </w:rPr>
        <w:t>5</w:t>
      </w:r>
      <w:r w:rsidR="0018502D">
        <w:rPr>
          <w:lang w:val="en-GB"/>
        </w:rPr>
        <w:t xml:space="preserve">]. </w:t>
      </w:r>
      <w:r w:rsidR="009028ED">
        <w:rPr>
          <w:lang w:val="en-GB"/>
        </w:rPr>
        <w:t xml:space="preserve">Furthermore, a comparison of </w:t>
      </w:r>
      <w:r w:rsidR="0018502D">
        <w:rPr>
          <w:lang w:val="en-GB"/>
        </w:rPr>
        <w:t xml:space="preserve">weighted and </w:t>
      </w:r>
      <w:proofErr w:type="spellStart"/>
      <w:r w:rsidR="0018502D">
        <w:rPr>
          <w:lang w:val="en-GB"/>
        </w:rPr>
        <w:t>unweighted</w:t>
      </w:r>
      <w:proofErr w:type="spellEnd"/>
      <w:r w:rsidR="0018502D">
        <w:rPr>
          <w:lang w:val="en-GB"/>
        </w:rPr>
        <w:t xml:space="preserve"> models sho</w:t>
      </w:r>
      <w:r w:rsidR="007D7FF9">
        <w:rPr>
          <w:lang w:val="en-GB"/>
        </w:rPr>
        <w:t>wed</w:t>
      </w:r>
      <w:r w:rsidR="0018502D">
        <w:rPr>
          <w:lang w:val="en-GB"/>
        </w:rPr>
        <w:t xml:space="preserve"> that there were no notable differences in model fit and coefficients for all variants described above.</w:t>
      </w:r>
      <w:r w:rsidR="000B655E">
        <w:rPr>
          <w:lang w:val="en-GB"/>
        </w:rPr>
        <w:t xml:space="preserve"> </w:t>
      </w:r>
      <w:r w:rsidR="007D7FF9">
        <w:rPr>
          <w:lang w:val="en-GB"/>
        </w:rPr>
        <w:t>Another obstacle would have arisen if weights were used in the models. Because of the lack of register information for the years 2008-2010 weights includi</w:t>
      </w:r>
      <w:r w:rsidR="00290853">
        <w:rPr>
          <w:lang w:val="en-GB"/>
        </w:rPr>
        <w:t>ng new register information sh</w:t>
      </w:r>
      <w:r w:rsidR="007D7FF9">
        <w:rPr>
          <w:lang w:val="en-GB"/>
        </w:rPr>
        <w:t>ould have be</w:t>
      </w:r>
      <w:r w:rsidR="00290853">
        <w:rPr>
          <w:lang w:val="en-GB"/>
        </w:rPr>
        <w:t>en</w:t>
      </w:r>
      <w:r w:rsidR="007D7FF9">
        <w:rPr>
          <w:lang w:val="en-GB"/>
        </w:rPr>
        <w:t xml:space="preserve"> estimated</w:t>
      </w:r>
      <w:r w:rsidR="00290853">
        <w:rPr>
          <w:lang w:val="en-GB"/>
        </w:rPr>
        <w:t xml:space="preserve"> separately </w:t>
      </w:r>
      <w:r w:rsidR="007D7FF9">
        <w:rPr>
          <w:lang w:val="en-GB"/>
        </w:rPr>
        <w:t>or the old version of the weights would have be</w:t>
      </w:r>
      <w:r w:rsidR="00290853">
        <w:rPr>
          <w:lang w:val="en-GB"/>
        </w:rPr>
        <w:t>en</w:t>
      </w:r>
      <w:r w:rsidR="007D7FF9">
        <w:rPr>
          <w:lang w:val="en-GB"/>
        </w:rPr>
        <w:t xml:space="preserve"> applied to estimate the weighted distribution of household income based mainly on registers. Either way, </w:t>
      </w:r>
      <w:r w:rsidR="00290853">
        <w:rPr>
          <w:lang w:val="en-GB"/>
        </w:rPr>
        <w:t>estimation of indicators would have been overly complicated or not consistent with applied weights.</w:t>
      </w:r>
    </w:p>
    <w:p w:rsidR="00806ABB" w:rsidRDefault="00806ABB" w:rsidP="00806ABB">
      <w:pPr>
        <w:pStyle w:val="Heading1"/>
        <w:rPr>
          <w:lang w:val="en-GB"/>
        </w:rPr>
      </w:pPr>
      <w:r>
        <w:rPr>
          <w:lang w:val="en-GB"/>
        </w:rPr>
        <w:lastRenderedPageBreak/>
        <w:t>Application of model based estimation for EU-SILC 2008-2010</w:t>
      </w:r>
    </w:p>
    <w:p w:rsidR="00550C3E" w:rsidRDefault="00F727B1" w:rsidP="00F727B1">
      <w:pPr>
        <w:rPr>
          <w:lang w:val="en-GB"/>
        </w:rPr>
      </w:pPr>
      <w:r w:rsidRPr="00F727B1">
        <w:rPr>
          <w:lang w:val="en-GB"/>
        </w:rPr>
        <w:t xml:space="preserve">The results presented in chapter </w:t>
      </w:r>
      <w:r w:rsidRPr="00F727B1">
        <w:rPr>
          <w:lang w:val="en-GB"/>
        </w:rPr>
        <w:fldChar w:fldCharType="begin"/>
      </w:r>
      <w:r w:rsidRPr="00F727B1">
        <w:rPr>
          <w:lang w:val="en-GB"/>
        </w:rPr>
        <w:instrText xml:space="preserve"> REF _Ref388985567 \r \h </w:instrText>
      </w:r>
      <w:r>
        <w:rPr>
          <w:lang w:val="en-GB"/>
        </w:rPr>
        <w:instrText xml:space="preserve"> \* MERGEFORMAT </w:instrText>
      </w:r>
      <w:r w:rsidRPr="00F727B1">
        <w:rPr>
          <w:lang w:val="en-GB"/>
        </w:rPr>
      </w:r>
      <w:r w:rsidRPr="00F727B1">
        <w:rPr>
          <w:lang w:val="en-GB"/>
        </w:rPr>
        <w:fldChar w:fldCharType="separate"/>
      </w:r>
      <w:r w:rsidR="00140CF9">
        <w:rPr>
          <w:lang w:val="en-GB"/>
        </w:rPr>
        <w:t>3</w:t>
      </w:r>
      <w:r w:rsidRPr="00F727B1">
        <w:rPr>
          <w:lang w:val="en-GB"/>
        </w:rPr>
        <w:fldChar w:fldCharType="end"/>
      </w:r>
      <w:r w:rsidRPr="00F727B1">
        <w:rPr>
          <w:lang w:val="en-GB"/>
        </w:rPr>
        <w:t xml:space="preserve"> clearly speak in favour </w:t>
      </w:r>
      <w:r w:rsidR="00D74628">
        <w:rPr>
          <w:lang w:val="en-GB"/>
        </w:rPr>
        <w:t>of variant 2a:</w:t>
      </w:r>
      <w:r w:rsidRPr="00F727B1">
        <w:rPr>
          <w:lang w:val="en-GB"/>
        </w:rPr>
        <w:t xml:space="preserve"> estimation of household income in combination with stochastic error terms. The regression coefficients in </w:t>
      </w:r>
      <w:r>
        <w:rPr>
          <w:lang w:val="en-GB"/>
        </w:rPr>
        <w:t>formula (3) were applied to HINC and the other independent variables of the years 2008-2010</w:t>
      </w:r>
      <w:r w:rsidR="00706AA6">
        <w:rPr>
          <w:lang w:val="en-GB"/>
        </w:rPr>
        <w:t>. This way the modelled register income effect could be applied to the socio-economic structure of 2008-2010 reflected in the predictor variables</w:t>
      </w:r>
      <w:r>
        <w:rPr>
          <w:lang w:val="en-GB"/>
        </w:rPr>
        <w:t>.</w:t>
      </w:r>
      <w:r w:rsidR="00D74628">
        <w:rPr>
          <w:lang w:val="en-GB"/>
        </w:rPr>
        <w:t xml:space="preserve"> Stochastic error terms with independent </w:t>
      </w:r>
      <m:oMath>
        <m:r>
          <w:rPr>
            <w:rFonts w:ascii="Cambria Math" w:hAnsi="Cambria Math"/>
            <w:lang w:val="en-GB"/>
          </w:rPr>
          <m:t>N(0,</m:t>
        </m:r>
        <m:sSup>
          <m:sSupPr>
            <m:ctrlPr>
              <w:rPr>
                <w:rFonts w:ascii="Cambria Math" w:hAnsi="Cambria Math"/>
                <w:i/>
                <w:lang w:val="en-GB"/>
              </w:rPr>
            </m:ctrlPr>
          </m:sSupPr>
          <m:e>
            <m:acc>
              <m:accPr>
                <m:chr m:val="̃"/>
                <m:ctrlPr>
                  <w:rPr>
                    <w:rFonts w:ascii="Cambria Math" w:hAnsi="Cambria Math"/>
                    <w:i/>
                    <w:lang w:val="en-GB"/>
                  </w:rPr>
                </m:ctrlPr>
              </m:accPr>
              <m:e>
                <m:r>
                  <w:rPr>
                    <w:rFonts w:ascii="Cambria Math" w:hAnsi="Cambria Math"/>
                    <w:lang w:val="en-GB"/>
                  </w:rPr>
                  <m:t>σ</m:t>
                </m:r>
              </m:e>
            </m:acc>
          </m:e>
          <m:sup>
            <m:r>
              <w:rPr>
                <w:rFonts w:ascii="Cambria Math" w:hAnsi="Cambria Math"/>
                <w:lang w:val="en-GB"/>
              </w:rPr>
              <m:t>2</m:t>
            </m:r>
          </m:sup>
        </m:sSup>
        <m:r>
          <w:rPr>
            <w:rFonts w:ascii="Cambria Math" w:hAnsi="Cambria Math"/>
            <w:lang w:val="en-GB"/>
          </w:rPr>
          <m:t>)</m:t>
        </m:r>
      </m:oMath>
      <w:r w:rsidR="00D74628">
        <w:rPr>
          <w:lang w:val="en-GB"/>
        </w:rPr>
        <w:t xml:space="preserve"> distribution and </w:t>
      </w:r>
      <m:oMath>
        <m:sSup>
          <m:sSupPr>
            <m:ctrlPr>
              <w:rPr>
                <w:rFonts w:ascii="Cambria Math" w:hAnsi="Cambria Math"/>
                <w:i/>
                <w:lang w:val="en-GB"/>
              </w:rPr>
            </m:ctrlPr>
          </m:sSupPr>
          <m:e>
            <m:acc>
              <m:accPr>
                <m:chr m:val="̃"/>
                <m:ctrlPr>
                  <w:rPr>
                    <w:rFonts w:ascii="Cambria Math" w:hAnsi="Cambria Math"/>
                    <w:i/>
                    <w:lang w:val="en-GB"/>
                  </w:rPr>
                </m:ctrlPr>
              </m:accPr>
              <m:e>
                <m:r>
                  <w:rPr>
                    <w:rFonts w:ascii="Cambria Math" w:hAnsi="Cambria Math"/>
                    <w:lang w:val="en-GB"/>
                  </w:rPr>
                  <m:t>σ</m:t>
                </m:r>
              </m:e>
            </m:acc>
          </m:e>
          <m:sup>
            <m:r>
              <w:rPr>
                <w:rFonts w:ascii="Cambria Math" w:hAnsi="Cambria Math"/>
                <w:lang w:val="en-GB"/>
              </w:rPr>
              <m:t>2</m:t>
            </m:r>
          </m:sup>
        </m:sSup>
      </m:oMath>
      <w:r w:rsidR="00D74628">
        <w:rPr>
          <w:lang w:val="en-GB"/>
        </w:rPr>
        <w:t xml:space="preserve"> taken from the 2011 model were added to the estimates of the years 2008-2010. Then the at-risk-of-poverty threshold as well as </w:t>
      </w:r>
      <w:proofErr w:type="gramStart"/>
      <w:r w:rsidR="00D74628" w:rsidRPr="000E4BF9">
        <w:rPr>
          <w:lang w:val="en-GB"/>
        </w:rPr>
        <w:t>AROP</w:t>
      </w:r>
      <w:r w:rsidR="00D74628" w:rsidRPr="007A5979">
        <w:rPr>
          <w:vertAlign w:val="superscript"/>
          <w:lang w:val="en-GB"/>
        </w:rPr>
        <w:t>(</w:t>
      </w:r>
      <w:proofErr w:type="gramEnd"/>
      <w:r w:rsidR="00D74628" w:rsidRPr="007A5979">
        <w:rPr>
          <w:vertAlign w:val="superscript"/>
          <w:lang w:val="en-GB"/>
        </w:rPr>
        <w:t>REG)</w:t>
      </w:r>
      <w:r w:rsidR="00D74628">
        <w:rPr>
          <w:lang w:val="en-GB"/>
        </w:rPr>
        <w:t xml:space="preserve"> and </w:t>
      </w:r>
      <w:r w:rsidR="00D74628" w:rsidRPr="000E4BF9">
        <w:rPr>
          <w:lang w:val="en-GB"/>
        </w:rPr>
        <w:t>AROP</w:t>
      </w:r>
      <w:r w:rsidR="00D74628">
        <w:rPr>
          <w:lang w:val="en-GB"/>
        </w:rPr>
        <w:t>E</w:t>
      </w:r>
      <w:r w:rsidR="00D74628" w:rsidRPr="007A5979">
        <w:rPr>
          <w:vertAlign w:val="superscript"/>
          <w:lang w:val="en-GB"/>
        </w:rPr>
        <w:t>(REG)</w:t>
      </w:r>
      <w:r w:rsidR="00D74628">
        <w:rPr>
          <w:lang w:val="en-GB"/>
        </w:rPr>
        <w:t xml:space="preserve"> were calculated using the estimates and interview data from EU</w:t>
      </w:r>
      <w:r w:rsidR="00D74628">
        <w:rPr>
          <w:lang w:val="en-GB"/>
        </w:rPr>
        <w:noBreakHyphen/>
        <w:t>SILC 2008-2010.</w:t>
      </w:r>
      <w:r w:rsidR="00706AA6">
        <w:rPr>
          <w:lang w:val="en-GB"/>
        </w:rPr>
        <w:t xml:space="preserve"> Figure 1 shows the time series </w:t>
      </w:r>
      <w:r w:rsidR="00706AA6" w:rsidRPr="000E4BF9">
        <w:rPr>
          <w:lang w:val="en-GB"/>
        </w:rPr>
        <w:t>AROP</w:t>
      </w:r>
      <w:r w:rsidR="00706AA6">
        <w:rPr>
          <w:lang w:val="en-GB"/>
        </w:rPr>
        <w:t xml:space="preserve"> and </w:t>
      </w:r>
      <w:r w:rsidR="00706AA6" w:rsidRPr="000E4BF9">
        <w:rPr>
          <w:lang w:val="en-GB"/>
        </w:rPr>
        <w:t>AROP</w:t>
      </w:r>
      <w:r w:rsidR="00706AA6">
        <w:rPr>
          <w:lang w:val="en-GB"/>
        </w:rPr>
        <w:t>E</w:t>
      </w:r>
      <w:r w:rsidR="00706AA6">
        <w:rPr>
          <w:vertAlign w:val="superscript"/>
          <w:lang w:val="en-GB"/>
        </w:rPr>
        <w:t xml:space="preserve"> </w:t>
      </w:r>
      <w:r w:rsidR="00706AA6">
        <w:rPr>
          <w:lang w:val="en-GB"/>
        </w:rPr>
        <w:t xml:space="preserve">compared to </w:t>
      </w:r>
      <w:proofErr w:type="gramStart"/>
      <w:r w:rsidR="00706AA6" w:rsidRPr="000E4BF9">
        <w:rPr>
          <w:lang w:val="en-GB"/>
        </w:rPr>
        <w:t>AROP</w:t>
      </w:r>
      <w:r w:rsidR="00706AA6" w:rsidRPr="007A5979">
        <w:rPr>
          <w:vertAlign w:val="superscript"/>
          <w:lang w:val="en-GB"/>
        </w:rPr>
        <w:t>(</w:t>
      </w:r>
      <w:proofErr w:type="gramEnd"/>
      <w:r w:rsidR="00706AA6" w:rsidRPr="007A5979">
        <w:rPr>
          <w:vertAlign w:val="superscript"/>
          <w:lang w:val="en-GB"/>
        </w:rPr>
        <w:t>REG)</w:t>
      </w:r>
      <w:r w:rsidR="00706AA6">
        <w:rPr>
          <w:lang w:val="en-GB"/>
        </w:rPr>
        <w:t xml:space="preserve"> and </w:t>
      </w:r>
      <w:r w:rsidR="00706AA6" w:rsidRPr="000E4BF9">
        <w:rPr>
          <w:lang w:val="en-GB"/>
        </w:rPr>
        <w:t>AROP</w:t>
      </w:r>
      <w:r w:rsidR="00706AA6">
        <w:rPr>
          <w:lang w:val="en-GB"/>
        </w:rPr>
        <w:t>E</w:t>
      </w:r>
      <w:r w:rsidR="00706AA6" w:rsidRPr="007A5979">
        <w:rPr>
          <w:vertAlign w:val="superscript"/>
          <w:lang w:val="en-GB"/>
        </w:rPr>
        <w:t>(REG)</w:t>
      </w:r>
      <w:r w:rsidR="00706AA6">
        <w:rPr>
          <w:lang w:val="en-GB"/>
        </w:rPr>
        <w:t xml:space="preserve"> for the years 2008-2012. The register based indicators include the model estimates for the years 2008-2010, thus providing an unbroken time series. The model based estimates show quite similar trends for both indicators compared to the time series based on the old methodology. As expected, both </w:t>
      </w:r>
      <w:proofErr w:type="gramStart"/>
      <w:r w:rsidR="00706AA6" w:rsidRPr="000E4BF9">
        <w:rPr>
          <w:lang w:val="en-GB"/>
        </w:rPr>
        <w:t>AROP</w:t>
      </w:r>
      <w:r w:rsidR="00706AA6" w:rsidRPr="007A5979">
        <w:rPr>
          <w:vertAlign w:val="superscript"/>
          <w:lang w:val="en-GB"/>
        </w:rPr>
        <w:t>(</w:t>
      </w:r>
      <w:proofErr w:type="gramEnd"/>
      <w:r w:rsidR="00706AA6" w:rsidRPr="007A5979">
        <w:rPr>
          <w:vertAlign w:val="superscript"/>
          <w:lang w:val="en-GB"/>
        </w:rPr>
        <w:t>REG)</w:t>
      </w:r>
      <w:r w:rsidR="00706AA6">
        <w:rPr>
          <w:lang w:val="en-GB"/>
        </w:rPr>
        <w:t xml:space="preserve"> and </w:t>
      </w:r>
      <w:r w:rsidR="00706AA6" w:rsidRPr="000E4BF9">
        <w:rPr>
          <w:lang w:val="en-GB"/>
        </w:rPr>
        <w:t>AROP</w:t>
      </w:r>
      <w:r w:rsidR="00706AA6">
        <w:rPr>
          <w:lang w:val="en-GB"/>
        </w:rPr>
        <w:t>E</w:t>
      </w:r>
      <w:r w:rsidR="00706AA6" w:rsidRPr="007A5979">
        <w:rPr>
          <w:vertAlign w:val="superscript"/>
          <w:lang w:val="en-GB"/>
        </w:rPr>
        <w:t>(REG)</w:t>
      </w:r>
      <w:r w:rsidR="00706AA6">
        <w:rPr>
          <w:lang w:val="en-GB"/>
        </w:rPr>
        <w:t xml:space="preserve"> are higher than their non-register based counterparts.</w:t>
      </w:r>
    </w:p>
    <w:p w:rsidR="00D74628" w:rsidRDefault="00D74628" w:rsidP="00F727B1">
      <w:pPr>
        <w:rPr>
          <w:lang w:val="en-GB"/>
        </w:rPr>
      </w:pPr>
      <w:r w:rsidRPr="00D74628">
        <w:rPr>
          <w:b/>
          <w:bCs/>
          <w:sz w:val="18"/>
          <w:szCs w:val="18"/>
          <w:lang w:val="en-GB"/>
        </w:rPr>
        <w:t>Figure</w:t>
      </w:r>
      <w:r>
        <w:rPr>
          <w:b/>
          <w:bCs/>
          <w:sz w:val="18"/>
          <w:szCs w:val="18"/>
          <w:lang w:val="en-GB"/>
        </w:rPr>
        <w:t xml:space="preserve"> 1: Comparison of indicators based on register an interview data</w:t>
      </w:r>
      <w:r>
        <w:rPr>
          <w:lang w:val="en-GB"/>
        </w:rPr>
        <w:t xml:space="preserve"> </w:t>
      </w:r>
    </w:p>
    <w:p w:rsidR="00D74628" w:rsidRDefault="00101EA4" w:rsidP="00F727B1">
      <w:pPr>
        <w:rPr>
          <w:lang w:val="en-GB"/>
        </w:rPr>
      </w:pPr>
      <w:r w:rsidRPr="00101EA4">
        <w:rPr>
          <w:noProof/>
          <w:lang w:val="en-US" w:eastAsia="en-US"/>
        </w:rPr>
        <w:drawing>
          <wp:inline distT="0" distB="0" distL="0" distR="0" wp14:anchorId="51BF4CEF" wp14:editId="32F74730">
            <wp:extent cx="5760720" cy="4322874"/>
            <wp:effectExtent l="0" t="0" r="0" b="190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2874"/>
                    </a:xfrm>
                    <a:prstGeom prst="rect">
                      <a:avLst/>
                    </a:prstGeom>
                    <a:noFill/>
                    <a:ln>
                      <a:noFill/>
                    </a:ln>
                  </pic:spPr>
                </pic:pic>
              </a:graphicData>
            </a:graphic>
          </wp:inline>
        </w:drawing>
      </w:r>
    </w:p>
    <w:p w:rsidR="00806ABB" w:rsidRDefault="00806ABB" w:rsidP="00806ABB">
      <w:pPr>
        <w:pStyle w:val="Heading1"/>
        <w:rPr>
          <w:lang w:val="en-GB"/>
        </w:rPr>
      </w:pPr>
      <w:r>
        <w:rPr>
          <w:lang w:val="en-GB"/>
        </w:rPr>
        <w:lastRenderedPageBreak/>
        <w:t>Conclusion</w:t>
      </w:r>
      <w:r w:rsidR="000D372E">
        <w:rPr>
          <w:lang w:val="en-GB"/>
        </w:rPr>
        <w:t>s</w:t>
      </w:r>
      <w:r>
        <w:rPr>
          <w:lang w:val="en-GB"/>
        </w:rPr>
        <w:t xml:space="preserve"> and outlook</w:t>
      </w:r>
    </w:p>
    <w:p w:rsidR="00485E26" w:rsidRDefault="00BF7D5B" w:rsidP="009B2097">
      <w:pPr>
        <w:rPr>
          <w:lang w:val="en-GB"/>
        </w:rPr>
      </w:pPr>
      <w:r>
        <w:rPr>
          <w:lang w:val="en-GB"/>
        </w:rPr>
        <w:t xml:space="preserve">Estimating the Europe </w:t>
      </w:r>
      <w:r w:rsidR="00550C3E">
        <w:rPr>
          <w:lang w:val="en-GB"/>
        </w:rPr>
        <w:t xml:space="preserve">2020 </w:t>
      </w:r>
      <w:r>
        <w:rPr>
          <w:lang w:val="en-GB"/>
        </w:rPr>
        <w:t>indicators at-risk-of poverty as well as at-risk-of-poverty and social exclusion based mainly on registers for the EU</w:t>
      </w:r>
      <w:r>
        <w:rPr>
          <w:lang w:val="en-GB"/>
        </w:rPr>
        <w:noBreakHyphen/>
        <w:t xml:space="preserve">SILC surveys 2008-2010 which are currently not linked with in come register data proved to be a challenge. The effect of using mainly register information for income measurement had to be modelled and applied to the survey years were register data are not available. A variant that estimates the household register income in addition with a stochastic error term to reproduce the right amount of variation in the estimated household income distribution was chosen. This method allowed for using the existing information on household size and composition to calculate the at-risk-of-poverty rate and furthermore the rate of </w:t>
      </w:r>
      <w:proofErr w:type="gramStart"/>
      <w:r>
        <w:rPr>
          <w:lang w:val="en-GB"/>
        </w:rPr>
        <w:t>persons</w:t>
      </w:r>
      <w:proofErr w:type="gramEnd"/>
      <w:r>
        <w:rPr>
          <w:lang w:val="en-GB"/>
        </w:rPr>
        <w:t xml:space="preserve"> at-risk-of-poverty or social exclusion which is the main Europe 2020 indicator based on EU-SILC. The results provided a plausible timeline of these indicators based on the newly introduced register income methodology. </w:t>
      </w:r>
    </w:p>
    <w:p w:rsidR="00806ABB" w:rsidRDefault="00BF7D5B" w:rsidP="009B2097">
      <w:pPr>
        <w:rPr>
          <w:lang w:val="en-GB"/>
        </w:rPr>
      </w:pPr>
      <w:r>
        <w:rPr>
          <w:lang w:val="en-GB"/>
        </w:rPr>
        <w:t>Still, household income based on registers would be the preferred choice</w:t>
      </w:r>
      <w:r w:rsidR="000F13A3">
        <w:rPr>
          <w:lang w:val="en-GB"/>
        </w:rPr>
        <w:t xml:space="preserve"> also for EU</w:t>
      </w:r>
      <w:r w:rsidR="000F13A3">
        <w:rPr>
          <w:lang w:val="en-GB"/>
        </w:rPr>
        <w:noBreakHyphen/>
        <w:t>SILC</w:t>
      </w:r>
      <w:r w:rsidR="00485E26">
        <w:rPr>
          <w:lang w:val="en-GB"/>
        </w:rPr>
        <w:t> </w:t>
      </w:r>
      <w:r w:rsidR="000F13A3">
        <w:rPr>
          <w:lang w:val="en-GB"/>
        </w:rPr>
        <w:t>2008</w:t>
      </w:r>
      <w:r w:rsidR="00485E26">
        <w:rPr>
          <w:lang w:val="en-GB"/>
        </w:rPr>
        <w:noBreakHyphen/>
      </w:r>
      <w:r w:rsidR="000F13A3">
        <w:rPr>
          <w:lang w:val="en-GB"/>
        </w:rPr>
        <w:t>2010. Adding register income data to these survey years is cumbersome, but Statistics Austria is currently working on the issue and it is planned to have result</w:t>
      </w:r>
      <w:r w:rsidR="00485E26">
        <w:rPr>
          <w:lang w:val="en-GB"/>
        </w:rPr>
        <w:t>s</w:t>
      </w:r>
      <w:r w:rsidR="000F13A3">
        <w:rPr>
          <w:lang w:val="en-GB"/>
        </w:rPr>
        <w:t xml:space="preserve"> of Europe 2020 indicators based </w:t>
      </w:r>
      <w:r w:rsidR="00550C3E">
        <w:rPr>
          <w:lang w:val="en-GB"/>
        </w:rPr>
        <w:t>mainly on</w:t>
      </w:r>
      <w:r w:rsidR="000F13A3">
        <w:rPr>
          <w:lang w:val="en-GB"/>
        </w:rPr>
        <w:t xml:space="preserve"> register </w:t>
      </w:r>
      <w:r w:rsidR="00FD4DDE">
        <w:rPr>
          <w:lang w:val="en-GB"/>
        </w:rPr>
        <w:t>income</w:t>
      </w:r>
      <w:r w:rsidR="00485E26">
        <w:rPr>
          <w:lang w:val="en-GB"/>
        </w:rPr>
        <w:t xml:space="preserve"> data</w:t>
      </w:r>
      <w:r w:rsidR="00FD4DDE">
        <w:rPr>
          <w:lang w:val="en-GB"/>
        </w:rPr>
        <w:t xml:space="preserve"> ready by autumn/winter of 2014</w:t>
      </w:r>
      <w:r w:rsidR="000F13A3">
        <w:rPr>
          <w:lang w:val="en-GB"/>
        </w:rPr>
        <w:t>.</w:t>
      </w:r>
    </w:p>
    <w:p w:rsidR="00ED50D7" w:rsidRDefault="00ED50D7" w:rsidP="009B2097">
      <w:pPr>
        <w:rPr>
          <w:lang w:val="en-GB"/>
        </w:rPr>
      </w:pPr>
    </w:p>
    <w:p w:rsidR="001D7289" w:rsidRDefault="001D7289" w:rsidP="001D7289">
      <w:pPr>
        <w:pStyle w:val="Heading1"/>
        <w:rPr>
          <w:lang w:val="en-GB"/>
        </w:rPr>
      </w:pPr>
      <w:r w:rsidRPr="000D49AD">
        <w:rPr>
          <w:lang w:val="en-GB"/>
        </w:rPr>
        <w:t>References</w:t>
      </w:r>
    </w:p>
    <w:p w:rsidR="001C4E57" w:rsidRDefault="001C4E57" w:rsidP="001C4E57">
      <w:r>
        <w:t>[1</w:t>
      </w:r>
      <w:r w:rsidRPr="001C4E57">
        <w:t>]</w:t>
      </w:r>
      <w:r>
        <w:t xml:space="preserve"> Glaser, </w:t>
      </w:r>
      <w:proofErr w:type="spellStart"/>
      <w:r>
        <w:t>Th</w:t>
      </w:r>
      <w:proofErr w:type="spellEnd"/>
      <w:r>
        <w:t xml:space="preserve">./Till, M. (2010), Gewichtungsverfahren zur Hochrechnung von EU-SILC-Querschnittergebnissen. In: Statistische Nachrichten 7/2010. </w:t>
      </w:r>
      <w:proofErr w:type="spellStart"/>
      <w:r w:rsidR="003F0B3C">
        <w:t>Statistics</w:t>
      </w:r>
      <w:proofErr w:type="spellEnd"/>
      <w:r>
        <w:t xml:space="preserve"> Austria. Vienna: 566-577.</w:t>
      </w:r>
    </w:p>
    <w:p w:rsidR="0055741F" w:rsidRPr="00485E26" w:rsidRDefault="001C4E57" w:rsidP="001C4E57">
      <w:pPr>
        <w:rPr>
          <w:lang w:val="en-GB"/>
        </w:rPr>
      </w:pPr>
      <w:r w:rsidRPr="00753122">
        <w:rPr>
          <w:lang w:val="en-GB"/>
        </w:rPr>
        <w:t>[2</w:t>
      </w:r>
      <w:r w:rsidR="008C6ABA" w:rsidRPr="00753122">
        <w:rPr>
          <w:lang w:val="en-GB"/>
        </w:rPr>
        <w:t xml:space="preserve">] </w:t>
      </w:r>
      <w:proofErr w:type="spellStart"/>
      <w:r w:rsidR="008C6ABA" w:rsidRPr="00753122">
        <w:rPr>
          <w:lang w:val="en-GB"/>
        </w:rPr>
        <w:t>Heuberger</w:t>
      </w:r>
      <w:proofErr w:type="spellEnd"/>
      <w:r w:rsidR="008C6ABA" w:rsidRPr="00753122">
        <w:rPr>
          <w:lang w:val="en-GB"/>
        </w:rPr>
        <w:t>, R</w:t>
      </w:r>
      <w:proofErr w:type="gramStart"/>
      <w:r w:rsidR="008C6ABA" w:rsidRPr="00753122">
        <w:rPr>
          <w:lang w:val="en-GB"/>
        </w:rPr>
        <w:t>./</w:t>
      </w:r>
      <w:proofErr w:type="gramEnd"/>
      <w:r w:rsidR="008C6ABA" w:rsidRPr="00753122">
        <w:rPr>
          <w:lang w:val="en-GB"/>
        </w:rPr>
        <w:t xml:space="preserve">Glaser, T./Kafka, E. (2013), The use of register data in the Austrian SILC survey. </w:t>
      </w:r>
      <w:r w:rsidR="00A0228C" w:rsidRPr="00485E26">
        <w:rPr>
          <w:lang w:val="en-GB"/>
        </w:rPr>
        <w:t xml:space="preserve">In: </w:t>
      </w:r>
      <w:proofErr w:type="spellStart"/>
      <w:r w:rsidR="00A0228C" w:rsidRPr="00485E26">
        <w:rPr>
          <w:lang w:val="en-GB"/>
        </w:rPr>
        <w:t>Jäntti</w:t>
      </w:r>
      <w:proofErr w:type="spellEnd"/>
      <w:r w:rsidR="00A0228C" w:rsidRPr="00485E26">
        <w:rPr>
          <w:lang w:val="en-GB"/>
        </w:rPr>
        <w:t>, M</w:t>
      </w:r>
      <w:proofErr w:type="gramStart"/>
      <w:r w:rsidR="00A0228C" w:rsidRPr="00485E26">
        <w:rPr>
          <w:lang w:val="en-GB"/>
        </w:rPr>
        <w:t>./</w:t>
      </w:r>
      <w:proofErr w:type="spellStart"/>
      <w:proofErr w:type="gramEnd"/>
      <w:r w:rsidR="00A0228C" w:rsidRPr="00485E26">
        <w:rPr>
          <w:lang w:val="en-GB"/>
        </w:rPr>
        <w:t>Törm</w:t>
      </w:r>
      <w:r w:rsidR="008C6ABA" w:rsidRPr="00485E26">
        <w:rPr>
          <w:lang w:val="en-GB"/>
        </w:rPr>
        <w:t>älehto</w:t>
      </w:r>
      <w:proofErr w:type="spellEnd"/>
      <w:r w:rsidR="008C6ABA" w:rsidRPr="00485E26">
        <w:rPr>
          <w:lang w:val="en-GB"/>
        </w:rPr>
        <w:t xml:space="preserve">, </w:t>
      </w:r>
      <w:r w:rsidR="008C6ABA">
        <w:rPr>
          <w:lang w:val="en-GB"/>
        </w:rPr>
        <w:t>V.-M./</w:t>
      </w:r>
      <w:proofErr w:type="spellStart"/>
      <w:r w:rsidR="008C6ABA">
        <w:rPr>
          <w:lang w:val="en-GB"/>
        </w:rPr>
        <w:t>Marlier</w:t>
      </w:r>
      <w:proofErr w:type="spellEnd"/>
      <w:r w:rsidR="008C6ABA">
        <w:rPr>
          <w:lang w:val="en-GB"/>
        </w:rPr>
        <w:t xml:space="preserve">, E., The use of registers in the context of EU-SILC: challenges and opportunities. </w:t>
      </w:r>
      <w:r w:rsidR="008C6ABA" w:rsidRPr="00485E26">
        <w:rPr>
          <w:lang w:val="en-GB"/>
        </w:rPr>
        <w:t>Eurostat Statistical Working Papers. Luxembourg</w:t>
      </w:r>
      <w:r w:rsidR="0055741F" w:rsidRPr="00485E26">
        <w:rPr>
          <w:lang w:val="en-GB"/>
        </w:rPr>
        <w:t>.</w:t>
      </w:r>
    </w:p>
    <w:p w:rsidR="0055741F" w:rsidRPr="003F0B3C" w:rsidRDefault="0055741F" w:rsidP="0055741F">
      <w:r w:rsidRPr="000C480B">
        <w:t>[</w:t>
      </w:r>
      <w:r w:rsidR="001C4E57" w:rsidRPr="000C480B">
        <w:t>3</w:t>
      </w:r>
      <w:r w:rsidRPr="000C480B">
        <w:t xml:space="preserve">] Lamei, L./Glaser, T./Heuberger, R./Kafka, E./Oismüller, A./Skina-Tabue, M. (2013), Methodenbericht EU-SILC 2012, </w:t>
      </w:r>
      <w:r w:rsidR="003F0B3C" w:rsidRPr="000C480B">
        <w:t>Vienna</w:t>
      </w:r>
      <w:r w:rsidRPr="000C480B">
        <w:t xml:space="preserve">. </w:t>
      </w:r>
      <w:proofErr w:type="spellStart"/>
      <w:r w:rsidR="003F0B3C">
        <w:t>Statistics</w:t>
      </w:r>
      <w:proofErr w:type="spellEnd"/>
      <w:r w:rsidR="003F0B3C">
        <w:t xml:space="preserve"> </w:t>
      </w:r>
      <w:r w:rsidRPr="003F0B3C">
        <w:t>Austria.</w:t>
      </w:r>
    </w:p>
    <w:p w:rsidR="002651B6" w:rsidRDefault="002651B6" w:rsidP="008C6ABA">
      <w:pPr>
        <w:rPr>
          <w:lang w:val="en-GB"/>
        </w:rPr>
      </w:pPr>
      <w:r>
        <w:rPr>
          <w:lang w:val="en-GB"/>
        </w:rPr>
        <w:t>[</w:t>
      </w:r>
      <w:r w:rsidR="000B655E">
        <w:rPr>
          <w:lang w:val="en-GB"/>
        </w:rPr>
        <w:t>4</w:t>
      </w:r>
      <w:r>
        <w:rPr>
          <w:lang w:val="en-GB"/>
        </w:rPr>
        <w:t>] Skinner, Ch</w:t>
      </w:r>
      <w:proofErr w:type="gramStart"/>
      <w:r>
        <w:rPr>
          <w:lang w:val="en-GB"/>
        </w:rPr>
        <w:t>./</w:t>
      </w:r>
      <w:proofErr w:type="gramEnd"/>
      <w:r>
        <w:rPr>
          <w:lang w:val="en-GB"/>
        </w:rPr>
        <w:t>Mason, B. (2012), Weighting in the regression analysis of survey data with a cross-national</w:t>
      </w:r>
      <w:r w:rsidR="009028ED">
        <w:rPr>
          <w:lang w:val="en-GB"/>
        </w:rPr>
        <w:t xml:space="preserve"> application. Canadian Journal of Statistics, 40 (4): 697-711.</w:t>
      </w:r>
    </w:p>
    <w:p w:rsidR="0055741F" w:rsidRPr="007B3A58" w:rsidRDefault="008C6ABA" w:rsidP="0055741F">
      <w:pPr>
        <w:rPr>
          <w:lang w:val="en-GB"/>
        </w:rPr>
      </w:pPr>
      <w:r>
        <w:rPr>
          <w:lang w:val="en-GB"/>
        </w:rPr>
        <w:t>[</w:t>
      </w:r>
      <w:r w:rsidR="000B655E">
        <w:rPr>
          <w:lang w:val="en-GB"/>
        </w:rPr>
        <w:t>5</w:t>
      </w:r>
      <w:r>
        <w:rPr>
          <w:lang w:val="en-GB"/>
        </w:rPr>
        <w:t xml:space="preserve">] </w:t>
      </w:r>
      <w:proofErr w:type="spellStart"/>
      <w:r>
        <w:rPr>
          <w:lang w:val="en-GB"/>
        </w:rPr>
        <w:t>Winship</w:t>
      </w:r>
      <w:proofErr w:type="spellEnd"/>
      <w:r>
        <w:rPr>
          <w:lang w:val="en-GB"/>
        </w:rPr>
        <w:t>, Ch</w:t>
      </w:r>
      <w:proofErr w:type="gramStart"/>
      <w:r>
        <w:rPr>
          <w:lang w:val="en-GB"/>
        </w:rPr>
        <w:t>./</w:t>
      </w:r>
      <w:proofErr w:type="gramEnd"/>
      <w:r>
        <w:rPr>
          <w:lang w:val="en-GB"/>
        </w:rPr>
        <w:t xml:space="preserve"> </w:t>
      </w:r>
      <w:proofErr w:type="spellStart"/>
      <w:r>
        <w:rPr>
          <w:lang w:val="en-GB"/>
        </w:rPr>
        <w:t>Radbill</w:t>
      </w:r>
      <w:proofErr w:type="spellEnd"/>
      <w:r>
        <w:rPr>
          <w:lang w:val="en-GB"/>
        </w:rPr>
        <w:t xml:space="preserve"> L.</w:t>
      </w:r>
      <w:r w:rsidRPr="00A72E03">
        <w:rPr>
          <w:lang w:val="en-GB"/>
        </w:rPr>
        <w:t xml:space="preserve"> (</w:t>
      </w:r>
      <w:r>
        <w:rPr>
          <w:lang w:val="en-GB"/>
        </w:rPr>
        <w:t>1994</w:t>
      </w:r>
      <w:r w:rsidRPr="00A72E03">
        <w:rPr>
          <w:lang w:val="en-GB"/>
        </w:rPr>
        <w:t xml:space="preserve">), </w:t>
      </w:r>
      <w:r>
        <w:rPr>
          <w:lang w:val="en-GB"/>
        </w:rPr>
        <w:t>Sampling Weights and Regression Analysis.</w:t>
      </w:r>
      <w:r w:rsidRPr="00A72E03">
        <w:rPr>
          <w:lang w:val="en-GB"/>
        </w:rPr>
        <w:t xml:space="preserve"> </w:t>
      </w:r>
      <w:r>
        <w:rPr>
          <w:lang w:val="en-GB"/>
        </w:rPr>
        <w:t>Sociological Methods &amp; Research</w:t>
      </w:r>
      <w:r w:rsidRPr="00A72E03">
        <w:rPr>
          <w:lang w:val="en-GB"/>
        </w:rPr>
        <w:t>, 2</w:t>
      </w:r>
      <w:r>
        <w:rPr>
          <w:lang w:val="en-GB"/>
        </w:rPr>
        <w:t>3</w:t>
      </w:r>
      <w:r w:rsidRPr="00A72E03">
        <w:rPr>
          <w:lang w:val="en-GB"/>
        </w:rPr>
        <w:t xml:space="preserve"> (</w:t>
      </w:r>
      <w:r>
        <w:rPr>
          <w:lang w:val="en-GB"/>
        </w:rPr>
        <w:t>2</w:t>
      </w:r>
      <w:r w:rsidRPr="00A72E03">
        <w:rPr>
          <w:lang w:val="en-GB"/>
        </w:rPr>
        <w:t xml:space="preserve">): </w:t>
      </w:r>
      <w:r>
        <w:rPr>
          <w:lang w:val="en-GB"/>
        </w:rPr>
        <w:t>230-257</w:t>
      </w:r>
      <w:r w:rsidRPr="00A72E03">
        <w:rPr>
          <w:lang w:val="en-GB"/>
        </w:rPr>
        <w:t>.</w:t>
      </w:r>
    </w:p>
    <w:sectPr w:rsidR="0055741F" w:rsidRPr="007B3A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45" w:rsidRDefault="00E84945" w:rsidP="00957CA6">
      <w:pPr>
        <w:spacing w:before="0" w:line="240" w:lineRule="auto"/>
      </w:pPr>
      <w:r>
        <w:separator/>
      </w:r>
    </w:p>
  </w:endnote>
  <w:endnote w:type="continuationSeparator" w:id="0">
    <w:p w:rsidR="00E84945" w:rsidRDefault="00E84945" w:rsidP="00957C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45" w:rsidRDefault="00E84945" w:rsidP="00957CA6">
      <w:pPr>
        <w:spacing w:before="0" w:line="240" w:lineRule="auto"/>
      </w:pPr>
      <w:r>
        <w:separator/>
      </w:r>
    </w:p>
  </w:footnote>
  <w:footnote w:type="continuationSeparator" w:id="0">
    <w:p w:rsidR="00E84945" w:rsidRDefault="00E84945" w:rsidP="00957CA6">
      <w:pPr>
        <w:spacing w:before="0" w:line="240" w:lineRule="auto"/>
      </w:pPr>
      <w:r>
        <w:continuationSeparator/>
      </w:r>
    </w:p>
  </w:footnote>
  <w:footnote w:id="1">
    <w:p w:rsidR="000F7CBA" w:rsidRPr="00A84DF1" w:rsidRDefault="000F7CBA" w:rsidP="00093DAB">
      <w:pPr>
        <w:pStyle w:val="FootnoteText"/>
        <w:rPr>
          <w:lang w:val="en-GB"/>
        </w:rPr>
      </w:pPr>
      <w:r>
        <w:rPr>
          <w:rStyle w:val="FootnoteReference"/>
        </w:rPr>
        <w:footnoteRef/>
      </w:r>
      <w:r w:rsidRPr="00A84DF1">
        <w:rPr>
          <w:lang w:val="en-GB"/>
        </w:rPr>
        <w:t xml:space="preserve"> </w:t>
      </w:r>
      <w:r>
        <w:rPr>
          <w:lang w:val="en-GB"/>
        </w:rPr>
        <w:t xml:space="preserve">Cf. </w:t>
      </w:r>
      <w:hyperlink r:id="rId1" w:history="1">
        <w:r w:rsidRPr="000C5087">
          <w:rPr>
            <w:rStyle w:val="Hyperlink"/>
            <w:lang w:val="en-GB"/>
          </w:rPr>
          <w:t>http://ec.europa.eu/europe2020/europe-2020-in-a-nutshell/targets/index_en.htm</w:t>
        </w:r>
      </w:hyperlink>
      <w:r>
        <w:rPr>
          <w:lang w:val="en-GB"/>
        </w:rPr>
        <w:t xml:space="preserve"> (retrieved 201</w:t>
      </w:r>
      <w:r w:rsidR="00045E60">
        <w:rPr>
          <w:lang w:val="en-GB"/>
        </w:rPr>
        <w:t>4</w:t>
      </w:r>
      <w:r>
        <w:rPr>
          <w:lang w:val="en-GB"/>
        </w:rPr>
        <w:t>-05-13)</w:t>
      </w:r>
    </w:p>
  </w:footnote>
  <w:footnote w:id="2">
    <w:p w:rsidR="000F7CBA" w:rsidRPr="004B595C" w:rsidRDefault="000F7CBA" w:rsidP="00557E99">
      <w:pPr>
        <w:pStyle w:val="FootnoteText"/>
        <w:rPr>
          <w:lang w:val="en-GB"/>
        </w:rPr>
      </w:pPr>
      <w:r>
        <w:rPr>
          <w:rStyle w:val="FootnoteReference"/>
        </w:rPr>
        <w:footnoteRef/>
      </w:r>
      <w:r w:rsidRPr="004B595C">
        <w:rPr>
          <w:lang w:val="en-GB"/>
        </w:rPr>
        <w:t xml:space="preserve"> The </w:t>
      </w:r>
      <w:proofErr w:type="spellStart"/>
      <w:r w:rsidRPr="004B595C">
        <w:rPr>
          <w:lang w:val="en-GB"/>
        </w:rPr>
        <w:t>equivalised</w:t>
      </w:r>
      <w:proofErr w:type="spellEnd"/>
      <w:r w:rsidRPr="004B595C">
        <w:rPr>
          <w:lang w:val="en-GB"/>
        </w:rPr>
        <w:t xml:space="preserve"> household income is defined as the available net household incom</w:t>
      </w:r>
      <w:r>
        <w:rPr>
          <w:lang w:val="en-GB"/>
        </w:rPr>
        <w:t>e divided by the number of consumption equivalents in the household which are calculated as a weighted sum of assumed resource requirements. A single adult is assigned a weight of 1, any additional adult receives a weight of 0.5 and every child below the age of 14 a weight of 0.3.</w:t>
      </w:r>
    </w:p>
  </w:footnote>
  <w:footnote w:id="3">
    <w:p w:rsidR="000F7CBA" w:rsidRPr="00862AB1" w:rsidRDefault="000F7CBA" w:rsidP="00093DAB">
      <w:pPr>
        <w:pStyle w:val="FootnoteText"/>
        <w:rPr>
          <w:lang w:val="en-GB"/>
        </w:rPr>
      </w:pPr>
      <w:r>
        <w:rPr>
          <w:rStyle w:val="FootnoteReference"/>
        </w:rPr>
        <w:footnoteRef/>
      </w:r>
      <w:r w:rsidRPr="00862AB1">
        <w:rPr>
          <w:lang w:val="en-GB"/>
        </w:rPr>
        <w:t xml:space="preserve"> </w:t>
      </w:r>
      <w:r>
        <w:rPr>
          <w:lang w:val="en-GB"/>
        </w:rPr>
        <w:t>C</w:t>
      </w:r>
      <w:r w:rsidRPr="00862AB1">
        <w:rPr>
          <w:lang w:val="en-GB"/>
        </w:rPr>
        <w:t xml:space="preserve">annot afford to pay rent or </w:t>
      </w:r>
      <w:r>
        <w:rPr>
          <w:lang w:val="en-GB"/>
        </w:rPr>
        <w:t>utility bills; keep home adequately warm; face unexpected expenses;</w:t>
      </w:r>
      <w:r w:rsidRPr="00862AB1">
        <w:rPr>
          <w:lang w:val="en-GB"/>
        </w:rPr>
        <w:t xml:space="preserve"> eat meat, fish or a prot</w:t>
      </w:r>
      <w:r>
        <w:rPr>
          <w:lang w:val="en-GB"/>
        </w:rPr>
        <w:t>ein equivalent every second day; a week holiday away from home; a car; a washing machine; a colour TV;</w:t>
      </w:r>
      <w:r w:rsidRPr="00862AB1">
        <w:rPr>
          <w:lang w:val="en-GB"/>
        </w:rPr>
        <w:t xml:space="preserve"> a telephone</w:t>
      </w:r>
      <w:r>
        <w:rPr>
          <w:lang w:val="en-GB"/>
        </w:rPr>
        <w:t xml:space="preserve"> (including mobile phone).</w:t>
      </w:r>
    </w:p>
  </w:footnote>
  <w:footnote w:id="4">
    <w:p w:rsidR="000F7CBA" w:rsidRPr="009B18B6" w:rsidRDefault="000F7CBA" w:rsidP="00093DAB">
      <w:pPr>
        <w:pStyle w:val="FootnoteText"/>
        <w:rPr>
          <w:lang w:val="en-GB"/>
        </w:rPr>
      </w:pPr>
      <w:r>
        <w:rPr>
          <w:rStyle w:val="FootnoteReference"/>
        </w:rPr>
        <w:footnoteRef/>
      </w:r>
      <w:r w:rsidRPr="009B18B6">
        <w:rPr>
          <w:lang w:val="en-GB"/>
        </w:rPr>
        <w:t xml:space="preserve"> In these households the work intensity</w:t>
      </w:r>
      <w:r>
        <w:rPr>
          <w:lang w:val="en-GB"/>
        </w:rPr>
        <w:t xml:space="preserve"> of persons aged 18-59</w:t>
      </w:r>
      <w:r w:rsidRPr="009B18B6">
        <w:rPr>
          <w:lang w:val="en-GB"/>
        </w:rPr>
        <w:t xml:space="preserve"> is below 20% of</w:t>
      </w:r>
      <w:r>
        <w:rPr>
          <w:lang w:val="en-GB"/>
        </w:rPr>
        <w:t xml:space="preserve"> </w:t>
      </w:r>
      <w:r w:rsidRPr="009B18B6">
        <w:rPr>
          <w:lang w:val="en-GB"/>
        </w:rPr>
        <w:t>the t</w:t>
      </w:r>
      <w:r>
        <w:rPr>
          <w:lang w:val="en-GB"/>
        </w:rPr>
        <w:t>h</w:t>
      </w:r>
      <w:r w:rsidRPr="009B18B6">
        <w:rPr>
          <w:lang w:val="en-GB"/>
        </w:rPr>
        <w:t xml:space="preserve">eoretically </w:t>
      </w:r>
      <w:r>
        <w:rPr>
          <w:lang w:val="en-GB"/>
        </w:rPr>
        <w:t xml:space="preserve">reachable work intensity. This indicator applies to household members younger than 60 years.  </w:t>
      </w:r>
    </w:p>
  </w:footnote>
  <w:footnote w:id="5">
    <w:p w:rsidR="000F7CBA" w:rsidRPr="00942A60" w:rsidRDefault="000F7CBA">
      <w:pPr>
        <w:pStyle w:val="FootnoteText"/>
        <w:rPr>
          <w:lang w:val="en-GB"/>
        </w:rPr>
      </w:pPr>
      <w:r>
        <w:rPr>
          <w:rStyle w:val="FootnoteReference"/>
        </w:rPr>
        <w:footnoteRef/>
      </w:r>
      <w:r w:rsidRPr="00942A60">
        <w:rPr>
          <w:lang w:val="en-GB"/>
        </w:rPr>
        <w:t xml:space="preserve"> Cf. </w:t>
      </w:r>
      <w:proofErr w:type="spellStart"/>
      <w:r w:rsidRPr="00942A60">
        <w:rPr>
          <w:lang w:val="en-GB"/>
        </w:rPr>
        <w:t>Einkommen</w:t>
      </w:r>
      <w:proofErr w:type="spellEnd"/>
      <w:r w:rsidRPr="00942A60">
        <w:rPr>
          <w:lang w:val="en-GB"/>
        </w:rPr>
        <w:t xml:space="preserve">- und </w:t>
      </w:r>
      <w:proofErr w:type="spellStart"/>
      <w:r w:rsidRPr="00942A60">
        <w:rPr>
          <w:lang w:val="en-GB"/>
        </w:rPr>
        <w:t>Lebensbedingungen-Statistikverordnung</w:t>
      </w:r>
      <w:proofErr w:type="spellEnd"/>
      <w:r w:rsidRPr="00942A60">
        <w:rPr>
          <w:lang w:val="en-GB"/>
        </w:rPr>
        <w:t xml:space="preserve"> – </w:t>
      </w:r>
      <w:proofErr w:type="spellStart"/>
      <w:r w:rsidRPr="00942A60">
        <w:rPr>
          <w:lang w:val="en-GB"/>
        </w:rPr>
        <w:t>ELStV</w:t>
      </w:r>
      <w:proofErr w:type="spellEnd"/>
      <w:r w:rsidRPr="00942A60">
        <w:rPr>
          <w:lang w:val="en-GB"/>
        </w:rPr>
        <w:t xml:space="preserve">: </w:t>
      </w:r>
    </w:p>
    <w:p w:rsidR="000F7CBA" w:rsidRPr="004A4B72" w:rsidRDefault="002E0D80">
      <w:pPr>
        <w:pStyle w:val="FootnoteText"/>
        <w:rPr>
          <w:lang w:val="en-GB"/>
        </w:rPr>
      </w:pPr>
      <w:hyperlink r:id="rId2" w:history="1">
        <w:r w:rsidR="000F7CBA" w:rsidRPr="00043948">
          <w:rPr>
            <w:rStyle w:val="Hyperlink"/>
            <w:sz w:val="18"/>
            <w:lang w:val="en-GB"/>
          </w:rPr>
          <w:t>http://www.ris.bka.gv.at/Dokumente/BgblAuth/BGBLA_2010_II_277/BGBLA_2010_II_277.pdf</w:t>
        </w:r>
      </w:hyperlink>
      <w:r w:rsidR="00043948" w:rsidRPr="00043948">
        <w:rPr>
          <w:sz w:val="18"/>
          <w:lang w:val="en-GB"/>
        </w:rPr>
        <w:t xml:space="preserve"> </w:t>
      </w:r>
      <w:r w:rsidR="00043948">
        <w:rPr>
          <w:sz w:val="18"/>
          <w:lang w:val="en-GB"/>
        </w:rPr>
        <w:t xml:space="preserve"> </w:t>
      </w:r>
      <w:r w:rsidR="000F7CBA" w:rsidRPr="004A4B72">
        <w:rPr>
          <w:lang w:val="en-GB"/>
        </w:rPr>
        <w:t>(retrieved 2014</w:t>
      </w:r>
      <w:r w:rsidR="000F7CBA">
        <w:rPr>
          <w:lang w:val="en-GB"/>
        </w:rPr>
        <w:t>-05-13)</w:t>
      </w:r>
    </w:p>
  </w:footnote>
  <w:footnote w:id="6">
    <w:p w:rsidR="000F7CBA" w:rsidRPr="0000649D" w:rsidRDefault="000F7CBA">
      <w:pPr>
        <w:pStyle w:val="FootnoteText"/>
        <w:rPr>
          <w:lang w:val="en-GB"/>
        </w:rPr>
      </w:pPr>
      <w:r>
        <w:rPr>
          <w:rStyle w:val="FootnoteReference"/>
        </w:rPr>
        <w:footnoteRef/>
      </w:r>
      <w:r w:rsidRPr="0000649D">
        <w:rPr>
          <w:lang w:val="en-GB"/>
        </w:rPr>
        <w:t xml:space="preserve"> Explanatory variables with a p-value</w:t>
      </w:r>
      <w:r>
        <w:rPr>
          <w:lang w:val="en-GB"/>
        </w:rPr>
        <w:t xml:space="preserve"> of the chi-</w:t>
      </w:r>
      <w:r w:rsidR="00043948">
        <w:rPr>
          <w:lang w:val="en-GB"/>
        </w:rPr>
        <w:t>s</w:t>
      </w:r>
      <w:r>
        <w:rPr>
          <w:lang w:val="en-GB"/>
        </w:rPr>
        <w:t>quare score statistic of p&lt;0.1 were excluded from the model.</w:t>
      </w:r>
    </w:p>
  </w:footnote>
  <w:footnote w:id="7">
    <w:p w:rsidR="000F7CBA" w:rsidRPr="006967B2" w:rsidRDefault="000F7CBA" w:rsidP="00DA01F9">
      <w:pPr>
        <w:pStyle w:val="FootnoteText"/>
        <w:rPr>
          <w:lang w:val="en-GB"/>
        </w:rPr>
      </w:pPr>
      <w:r>
        <w:rPr>
          <w:rStyle w:val="FootnoteReference"/>
        </w:rPr>
        <w:footnoteRef/>
      </w:r>
      <w:r w:rsidRPr="006967B2">
        <w:rPr>
          <w:lang w:val="en-GB"/>
        </w:rPr>
        <w:t xml:space="preserve"> Using the natural logarithm of household incomes in formula (3) produced some very low values.</w:t>
      </w:r>
      <w:r>
        <w:rPr>
          <w:lang w:val="en-GB"/>
        </w:rPr>
        <w:t xml:space="preserve"> Households with a yearly net household income lower than 2,210 Euro had to be excluded from the model. Additionally some households had to be excluded because they were identified as outliers during the analysis of residuals.</w:t>
      </w:r>
    </w:p>
  </w:footnote>
  <w:footnote w:id="8">
    <w:p w:rsidR="000F7CBA" w:rsidRPr="00143A6C" w:rsidRDefault="000F7CBA">
      <w:pPr>
        <w:pStyle w:val="FootnoteText"/>
        <w:rPr>
          <w:lang w:val="en-GB"/>
        </w:rPr>
      </w:pPr>
      <w:r>
        <w:rPr>
          <w:rStyle w:val="FootnoteReference"/>
        </w:rPr>
        <w:footnoteRef/>
      </w:r>
      <w:r w:rsidRPr="00143A6C">
        <w:rPr>
          <w:lang w:val="en-GB"/>
        </w:rPr>
        <w:t xml:space="preserve"> For a description see footnote </w:t>
      </w:r>
      <w:r>
        <w:rPr>
          <w:lang w:val="de-DE"/>
        </w:rPr>
        <w:fldChar w:fldCharType="begin"/>
      </w:r>
      <w:r w:rsidRPr="00143A6C">
        <w:rPr>
          <w:lang w:val="en-GB"/>
        </w:rPr>
        <w:instrText xml:space="preserve"> NOTEREF _Ref388638353 \h </w:instrText>
      </w:r>
      <w:r>
        <w:rPr>
          <w:lang w:val="de-DE"/>
        </w:rPr>
      </w:r>
      <w:r>
        <w:rPr>
          <w:lang w:val="de-DE"/>
        </w:rPr>
        <w:fldChar w:fldCharType="separate"/>
      </w:r>
      <w:r w:rsidR="00140CF9">
        <w:rPr>
          <w:lang w:val="en-GB"/>
        </w:rPr>
        <w:t>2</w:t>
      </w:r>
      <w:r>
        <w:rPr>
          <w:lang w:val="de-DE"/>
        </w:rPr>
        <w:fldChar w:fldCharType="end"/>
      </w:r>
      <w:r w:rsidRPr="00143A6C">
        <w:rPr>
          <w:lang w:val="en-GB"/>
        </w:rPr>
        <w:t>.</w:t>
      </w:r>
    </w:p>
  </w:footnote>
  <w:footnote w:id="9">
    <w:p w:rsidR="000F7CBA" w:rsidRPr="00D56A7D" w:rsidRDefault="000F7CBA">
      <w:pPr>
        <w:pStyle w:val="FootnoteText"/>
        <w:rPr>
          <w:lang w:val="en-GB"/>
        </w:rPr>
      </w:pPr>
      <w:r>
        <w:rPr>
          <w:rStyle w:val="FootnoteReference"/>
        </w:rPr>
        <w:footnoteRef/>
      </w:r>
      <w:r w:rsidRPr="00D56A7D">
        <w:rPr>
          <w:lang w:val="en-GB"/>
        </w:rPr>
        <w:t xml:space="preserve"> Besides the number of employees (aged 15+</w:t>
      </w:r>
      <w:r>
        <w:rPr>
          <w:lang w:val="en-GB"/>
        </w:rPr>
        <w:t>) and retirees cross-sectional weights of EU-SILC in Austria are calibrated to marginal distribution on household level (province, household size, tenure status) and personal level (age and sex, citizenship, number of recipients of unemployment benefits for more than one month)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946E6"/>
    <w:multiLevelType w:val="hybridMultilevel"/>
    <w:tmpl w:val="FFC2796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1803BCD"/>
    <w:multiLevelType w:val="multilevel"/>
    <w:tmpl w:val="BA027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514280"/>
    <w:multiLevelType w:val="multilevel"/>
    <w:tmpl w:val="3BBC025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DB"/>
    <w:rsid w:val="0000175B"/>
    <w:rsid w:val="0000562F"/>
    <w:rsid w:val="0000649D"/>
    <w:rsid w:val="00020B6B"/>
    <w:rsid w:val="00023DA2"/>
    <w:rsid w:val="0002701E"/>
    <w:rsid w:val="00034544"/>
    <w:rsid w:val="00043948"/>
    <w:rsid w:val="00045E60"/>
    <w:rsid w:val="0004690B"/>
    <w:rsid w:val="00065BFF"/>
    <w:rsid w:val="0006663E"/>
    <w:rsid w:val="00070374"/>
    <w:rsid w:val="00093DAB"/>
    <w:rsid w:val="00095AAF"/>
    <w:rsid w:val="00095FF6"/>
    <w:rsid w:val="000A6C1B"/>
    <w:rsid w:val="000B0224"/>
    <w:rsid w:val="000B655E"/>
    <w:rsid w:val="000B6FEB"/>
    <w:rsid w:val="000C07A2"/>
    <w:rsid w:val="000C480B"/>
    <w:rsid w:val="000C75E3"/>
    <w:rsid w:val="000C770D"/>
    <w:rsid w:val="000D372E"/>
    <w:rsid w:val="000D49AD"/>
    <w:rsid w:val="000E1854"/>
    <w:rsid w:val="000E4BF9"/>
    <w:rsid w:val="000E5C5E"/>
    <w:rsid w:val="000F13A3"/>
    <w:rsid w:val="000F44D3"/>
    <w:rsid w:val="000F7CBA"/>
    <w:rsid w:val="00100E2D"/>
    <w:rsid w:val="00101EA4"/>
    <w:rsid w:val="0011176E"/>
    <w:rsid w:val="00115262"/>
    <w:rsid w:val="00126943"/>
    <w:rsid w:val="00127E17"/>
    <w:rsid w:val="00132520"/>
    <w:rsid w:val="00134FC3"/>
    <w:rsid w:val="00140CF9"/>
    <w:rsid w:val="00143634"/>
    <w:rsid w:val="00143A6C"/>
    <w:rsid w:val="00150BEC"/>
    <w:rsid w:val="00153235"/>
    <w:rsid w:val="00154624"/>
    <w:rsid w:val="0015505A"/>
    <w:rsid w:val="0015534E"/>
    <w:rsid w:val="00176C8D"/>
    <w:rsid w:val="00180A9E"/>
    <w:rsid w:val="0018502D"/>
    <w:rsid w:val="00187CF9"/>
    <w:rsid w:val="001922F6"/>
    <w:rsid w:val="0019440C"/>
    <w:rsid w:val="00194C81"/>
    <w:rsid w:val="001B14E6"/>
    <w:rsid w:val="001B78C7"/>
    <w:rsid w:val="001C0ECD"/>
    <w:rsid w:val="001C3062"/>
    <w:rsid w:val="001C4E57"/>
    <w:rsid w:val="001D060D"/>
    <w:rsid w:val="001D0807"/>
    <w:rsid w:val="001D7289"/>
    <w:rsid w:val="001E1A85"/>
    <w:rsid w:val="001E2E75"/>
    <w:rsid w:val="001E3A93"/>
    <w:rsid w:val="001E7530"/>
    <w:rsid w:val="001F4268"/>
    <w:rsid w:val="002002D6"/>
    <w:rsid w:val="00201A49"/>
    <w:rsid w:val="00202BE8"/>
    <w:rsid w:val="0021240B"/>
    <w:rsid w:val="00213899"/>
    <w:rsid w:val="00223A2C"/>
    <w:rsid w:val="00230DA2"/>
    <w:rsid w:val="00234834"/>
    <w:rsid w:val="00236794"/>
    <w:rsid w:val="002506E2"/>
    <w:rsid w:val="0025258E"/>
    <w:rsid w:val="00254EFB"/>
    <w:rsid w:val="00263CFB"/>
    <w:rsid w:val="002651B6"/>
    <w:rsid w:val="00267E07"/>
    <w:rsid w:val="002741D5"/>
    <w:rsid w:val="0028073A"/>
    <w:rsid w:val="00286A9C"/>
    <w:rsid w:val="00290853"/>
    <w:rsid w:val="0029128E"/>
    <w:rsid w:val="00297776"/>
    <w:rsid w:val="002B2C25"/>
    <w:rsid w:val="002C26DB"/>
    <w:rsid w:val="002D4A04"/>
    <w:rsid w:val="002E0D80"/>
    <w:rsid w:val="002E4CD0"/>
    <w:rsid w:val="002F370B"/>
    <w:rsid w:val="00303EF0"/>
    <w:rsid w:val="003072A3"/>
    <w:rsid w:val="00307CA7"/>
    <w:rsid w:val="00314965"/>
    <w:rsid w:val="003159E3"/>
    <w:rsid w:val="0032163A"/>
    <w:rsid w:val="00325678"/>
    <w:rsid w:val="00325E0A"/>
    <w:rsid w:val="003277DE"/>
    <w:rsid w:val="00330467"/>
    <w:rsid w:val="00335339"/>
    <w:rsid w:val="00341313"/>
    <w:rsid w:val="003415FA"/>
    <w:rsid w:val="00344781"/>
    <w:rsid w:val="00344856"/>
    <w:rsid w:val="00353680"/>
    <w:rsid w:val="00355FE2"/>
    <w:rsid w:val="00357A86"/>
    <w:rsid w:val="00371079"/>
    <w:rsid w:val="00376D9D"/>
    <w:rsid w:val="00380267"/>
    <w:rsid w:val="00386E47"/>
    <w:rsid w:val="003870CB"/>
    <w:rsid w:val="00387A07"/>
    <w:rsid w:val="003A350B"/>
    <w:rsid w:val="003B03A5"/>
    <w:rsid w:val="003B1B71"/>
    <w:rsid w:val="003B7271"/>
    <w:rsid w:val="003C0F54"/>
    <w:rsid w:val="003C4BA9"/>
    <w:rsid w:val="003E0A0A"/>
    <w:rsid w:val="003F0B3C"/>
    <w:rsid w:val="00400E33"/>
    <w:rsid w:val="0040295E"/>
    <w:rsid w:val="00404A9B"/>
    <w:rsid w:val="0040706B"/>
    <w:rsid w:val="00413DE8"/>
    <w:rsid w:val="00432029"/>
    <w:rsid w:val="0043576B"/>
    <w:rsid w:val="0043711D"/>
    <w:rsid w:val="00440E06"/>
    <w:rsid w:val="0044161E"/>
    <w:rsid w:val="004466DE"/>
    <w:rsid w:val="0045028D"/>
    <w:rsid w:val="00462A72"/>
    <w:rsid w:val="0046312B"/>
    <w:rsid w:val="00463465"/>
    <w:rsid w:val="00463BA2"/>
    <w:rsid w:val="004727AE"/>
    <w:rsid w:val="004767F1"/>
    <w:rsid w:val="004775D5"/>
    <w:rsid w:val="00480F85"/>
    <w:rsid w:val="0048478B"/>
    <w:rsid w:val="00485E26"/>
    <w:rsid w:val="004950FC"/>
    <w:rsid w:val="004966E2"/>
    <w:rsid w:val="00497620"/>
    <w:rsid w:val="004A178C"/>
    <w:rsid w:val="004A4B72"/>
    <w:rsid w:val="004B1EC2"/>
    <w:rsid w:val="004B595C"/>
    <w:rsid w:val="004B66D9"/>
    <w:rsid w:val="004C2B23"/>
    <w:rsid w:val="004D2F94"/>
    <w:rsid w:val="004D386F"/>
    <w:rsid w:val="004D5634"/>
    <w:rsid w:val="004D6F06"/>
    <w:rsid w:val="004E4F21"/>
    <w:rsid w:val="004E5E9A"/>
    <w:rsid w:val="00500F68"/>
    <w:rsid w:val="005010BE"/>
    <w:rsid w:val="00506F8D"/>
    <w:rsid w:val="00513020"/>
    <w:rsid w:val="00515758"/>
    <w:rsid w:val="00521EBB"/>
    <w:rsid w:val="00527DB2"/>
    <w:rsid w:val="00546F31"/>
    <w:rsid w:val="00550C3E"/>
    <w:rsid w:val="00553930"/>
    <w:rsid w:val="00555AFA"/>
    <w:rsid w:val="0055741F"/>
    <w:rsid w:val="00557E99"/>
    <w:rsid w:val="00572150"/>
    <w:rsid w:val="00572EDA"/>
    <w:rsid w:val="005809C0"/>
    <w:rsid w:val="0059420F"/>
    <w:rsid w:val="00594BFB"/>
    <w:rsid w:val="00596EA3"/>
    <w:rsid w:val="005A1EA2"/>
    <w:rsid w:val="005A37E0"/>
    <w:rsid w:val="005A42CA"/>
    <w:rsid w:val="005C0C91"/>
    <w:rsid w:val="005C20B7"/>
    <w:rsid w:val="005D3500"/>
    <w:rsid w:val="005E0D19"/>
    <w:rsid w:val="006155C1"/>
    <w:rsid w:val="00623876"/>
    <w:rsid w:val="00627600"/>
    <w:rsid w:val="00632971"/>
    <w:rsid w:val="006348A6"/>
    <w:rsid w:val="00634C3D"/>
    <w:rsid w:val="00635BFD"/>
    <w:rsid w:val="00640D72"/>
    <w:rsid w:val="00642CB6"/>
    <w:rsid w:val="00642E2A"/>
    <w:rsid w:val="006464C5"/>
    <w:rsid w:val="00646A8F"/>
    <w:rsid w:val="006522F5"/>
    <w:rsid w:val="00661D24"/>
    <w:rsid w:val="006620B4"/>
    <w:rsid w:val="00662161"/>
    <w:rsid w:val="00664FE4"/>
    <w:rsid w:val="00675059"/>
    <w:rsid w:val="00675525"/>
    <w:rsid w:val="00682C73"/>
    <w:rsid w:val="00690249"/>
    <w:rsid w:val="00692B4B"/>
    <w:rsid w:val="006967B2"/>
    <w:rsid w:val="00696CE4"/>
    <w:rsid w:val="006A3D6C"/>
    <w:rsid w:val="006A52EE"/>
    <w:rsid w:val="006A6A42"/>
    <w:rsid w:val="006C73EE"/>
    <w:rsid w:val="006D057A"/>
    <w:rsid w:val="006D7AA4"/>
    <w:rsid w:val="006E5529"/>
    <w:rsid w:val="006E72A8"/>
    <w:rsid w:val="006F13EA"/>
    <w:rsid w:val="006F1776"/>
    <w:rsid w:val="007001ED"/>
    <w:rsid w:val="00703F31"/>
    <w:rsid w:val="00706AA6"/>
    <w:rsid w:val="00712AA9"/>
    <w:rsid w:val="007200CD"/>
    <w:rsid w:val="00720E1A"/>
    <w:rsid w:val="00724864"/>
    <w:rsid w:val="00743B66"/>
    <w:rsid w:val="00750EC9"/>
    <w:rsid w:val="00753122"/>
    <w:rsid w:val="00773A48"/>
    <w:rsid w:val="0079369A"/>
    <w:rsid w:val="007A3402"/>
    <w:rsid w:val="007A5979"/>
    <w:rsid w:val="007A6F9F"/>
    <w:rsid w:val="007B3A58"/>
    <w:rsid w:val="007C3B3D"/>
    <w:rsid w:val="007D15FD"/>
    <w:rsid w:val="007D5724"/>
    <w:rsid w:val="007D7FF9"/>
    <w:rsid w:val="007E0D7D"/>
    <w:rsid w:val="007E7F88"/>
    <w:rsid w:val="007F7733"/>
    <w:rsid w:val="008049E8"/>
    <w:rsid w:val="00806ABB"/>
    <w:rsid w:val="00813408"/>
    <w:rsid w:val="00817BBD"/>
    <w:rsid w:val="008203CF"/>
    <w:rsid w:val="00822FB6"/>
    <w:rsid w:val="00825C19"/>
    <w:rsid w:val="00845517"/>
    <w:rsid w:val="00853200"/>
    <w:rsid w:val="00855557"/>
    <w:rsid w:val="00862AB1"/>
    <w:rsid w:val="008655B1"/>
    <w:rsid w:val="00876F7C"/>
    <w:rsid w:val="0089190D"/>
    <w:rsid w:val="008A380C"/>
    <w:rsid w:val="008B10E0"/>
    <w:rsid w:val="008B4103"/>
    <w:rsid w:val="008B53F4"/>
    <w:rsid w:val="008C4C05"/>
    <w:rsid w:val="008C67F8"/>
    <w:rsid w:val="008C6ABA"/>
    <w:rsid w:val="008C7445"/>
    <w:rsid w:val="008D09F6"/>
    <w:rsid w:val="008D2EC0"/>
    <w:rsid w:val="008D5F56"/>
    <w:rsid w:val="008E3304"/>
    <w:rsid w:val="008F34E7"/>
    <w:rsid w:val="009028ED"/>
    <w:rsid w:val="00903AF3"/>
    <w:rsid w:val="00913AFE"/>
    <w:rsid w:val="00914DC8"/>
    <w:rsid w:val="00925C1C"/>
    <w:rsid w:val="009348C2"/>
    <w:rsid w:val="00935EB4"/>
    <w:rsid w:val="0094258B"/>
    <w:rsid w:val="00942A60"/>
    <w:rsid w:val="00951456"/>
    <w:rsid w:val="0095358B"/>
    <w:rsid w:val="00957CA6"/>
    <w:rsid w:val="00961533"/>
    <w:rsid w:val="009930A1"/>
    <w:rsid w:val="00993FF7"/>
    <w:rsid w:val="009A5C0F"/>
    <w:rsid w:val="009B0D5F"/>
    <w:rsid w:val="009B18B6"/>
    <w:rsid w:val="009B2097"/>
    <w:rsid w:val="009B3355"/>
    <w:rsid w:val="009B708C"/>
    <w:rsid w:val="009D4AA7"/>
    <w:rsid w:val="009E5B60"/>
    <w:rsid w:val="009E7858"/>
    <w:rsid w:val="009F14EA"/>
    <w:rsid w:val="009F52D5"/>
    <w:rsid w:val="009F5402"/>
    <w:rsid w:val="00A005CA"/>
    <w:rsid w:val="00A0228C"/>
    <w:rsid w:val="00A147E8"/>
    <w:rsid w:val="00A15F3D"/>
    <w:rsid w:val="00A208F8"/>
    <w:rsid w:val="00A2402E"/>
    <w:rsid w:val="00A26FA4"/>
    <w:rsid w:val="00A272DC"/>
    <w:rsid w:val="00A310E7"/>
    <w:rsid w:val="00A338A8"/>
    <w:rsid w:val="00A37CD3"/>
    <w:rsid w:val="00A53BCD"/>
    <w:rsid w:val="00A574BF"/>
    <w:rsid w:val="00A6697A"/>
    <w:rsid w:val="00A66F56"/>
    <w:rsid w:val="00A71A28"/>
    <w:rsid w:val="00A72E03"/>
    <w:rsid w:val="00A749D2"/>
    <w:rsid w:val="00A757B0"/>
    <w:rsid w:val="00A77070"/>
    <w:rsid w:val="00A84DF1"/>
    <w:rsid w:val="00A865CD"/>
    <w:rsid w:val="00A97E68"/>
    <w:rsid w:val="00AB1934"/>
    <w:rsid w:val="00AB7ACA"/>
    <w:rsid w:val="00AC0C0B"/>
    <w:rsid w:val="00AC2F1E"/>
    <w:rsid w:val="00AD22A6"/>
    <w:rsid w:val="00AD598C"/>
    <w:rsid w:val="00AE07BC"/>
    <w:rsid w:val="00AE0C0D"/>
    <w:rsid w:val="00AE434D"/>
    <w:rsid w:val="00AE70C3"/>
    <w:rsid w:val="00AF5826"/>
    <w:rsid w:val="00AF6B26"/>
    <w:rsid w:val="00B020F8"/>
    <w:rsid w:val="00B03907"/>
    <w:rsid w:val="00B07D6C"/>
    <w:rsid w:val="00B117D2"/>
    <w:rsid w:val="00B1555E"/>
    <w:rsid w:val="00B17522"/>
    <w:rsid w:val="00B21145"/>
    <w:rsid w:val="00B21176"/>
    <w:rsid w:val="00B352C4"/>
    <w:rsid w:val="00B40C7B"/>
    <w:rsid w:val="00B434A7"/>
    <w:rsid w:val="00B46AF5"/>
    <w:rsid w:val="00B52DF7"/>
    <w:rsid w:val="00B52EB5"/>
    <w:rsid w:val="00B53421"/>
    <w:rsid w:val="00B62018"/>
    <w:rsid w:val="00B7433E"/>
    <w:rsid w:val="00B76361"/>
    <w:rsid w:val="00B80DC3"/>
    <w:rsid w:val="00B870B6"/>
    <w:rsid w:val="00B87BCF"/>
    <w:rsid w:val="00BC3AFC"/>
    <w:rsid w:val="00BD7CC5"/>
    <w:rsid w:val="00BD7DA1"/>
    <w:rsid w:val="00BF0963"/>
    <w:rsid w:val="00BF363B"/>
    <w:rsid w:val="00BF7127"/>
    <w:rsid w:val="00BF7D5B"/>
    <w:rsid w:val="00C067A5"/>
    <w:rsid w:val="00C17301"/>
    <w:rsid w:val="00C2180D"/>
    <w:rsid w:val="00C46020"/>
    <w:rsid w:val="00C61533"/>
    <w:rsid w:val="00C66390"/>
    <w:rsid w:val="00C7425A"/>
    <w:rsid w:val="00C90077"/>
    <w:rsid w:val="00CA26C9"/>
    <w:rsid w:val="00CA668C"/>
    <w:rsid w:val="00CA6C30"/>
    <w:rsid w:val="00CB2A40"/>
    <w:rsid w:val="00CB62E4"/>
    <w:rsid w:val="00CB7C92"/>
    <w:rsid w:val="00CB7F4D"/>
    <w:rsid w:val="00CC2B48"/>
    <w:rsid w:val="00CC45D7"/>
    <w:rsid w:val="00CD703E"/>
    <w:rsid w:val="00CE1255"/>
    <w:rsid w:val="00D15DAD"/>
    <w:rsid w:val="00D3754C"/>
    <w:rsid w:val="00D41D90"/>
    <w:rsid w:val="00D546EE"/>
    <w:rsid w:val="00D56A7D"/>
    <w:rsid w:val="00D66165"/>
    <w:rsid w:val="00D74628"/>
    <w:rsid w:val="00D83CA6"/>
    <w:rsid w:val="00D9235F"/>
    <w:rsid w:val="00D92575"/>
    <w:rsid w:val="00D925DE"/>
    <w:rsid w:val="00D92F99"/>
    <w:rsid w:val="00D94F30"/>
    <w:rsid w:val="00DA01F9"/>
    <w:rsid w:val="00DA09D9"/>
    <w:rsid w:val="00DC148C"/>
    <w:rsid w:val="00DD1B35"/>
    <w:rsid w:val="00DD2974"/>
    <w:rsid w:val="00DD2D27"/>
    <w:rsid w:val="00DD4B15"/>
    <w:rsid w:val="00E01A33"/>
    <w:rsid w:val="00E156DE"/>
    <w:rsid w:val="00E1586C"/>
    <w:rsid w:val="00E25F0F"/>
    <w:rsid w:val="00E2732E"/>
    <w:rsid w:val="00E3754D"/>
    <w:rsid w:val="00E419C0"/>
    <w:rsid w:val="00E44778"/>
    <w:rsid w:val="00E502E0"/>
    <w:rsid w:val="00E576E6"/>
    <w:rsid w:val="00E64074"/>
    <w:rsid w:val="00E65CD0"/>
    <w:rsid w:val="00E72F20"/>
    <w:rsid w:val="00E73BAF"/>
    <w:rsid w:val="00E74731"/>
    <w:rsid w:val="00E835CC"/>
    <w:rsid w:val="00E842A8"/>
    <w:rsid w:val="00E84945"/>
    <w:rsid w:val="00E84E1C"/>
    <w:rsid w:val="00E92395"/>
    <w:rsid w:val="00E93BFF"/>
    <w:rsid w:val="00EB393B"/>
    <w:rsid w:val="00EC1102"/>
    <w:rsid w:val="00EC66CC"/>
    <w:rsid w:val="00ED0C1C"/>
    <w:rsid w:val="00ED4452"/>
    <w:rsid w:val="00ED4D03"/>
    <w:rsid w:val="00ED50D7"/>
    <w:rsid w:val="00ED7EF0"/>
    <w:rsid w:val="00EF1FE6"/>
    <w:rsid w:val="00F02B0B"/>
    <w:rsid w:val="00F2218F"/>
    <w:rsid w:val="00F4006B"/>
    <w:rsid w:val="00F4022E"/>
    <w:rsid w:val="00F438AE"/>
    <w:rsid w:val="00F47BA7"/>
    <w:rsid w:val="00F521C0"/>
    <w:rsid w:val="00F540C8"/>
    <w:rsid w:val="00F6494A"/>
    <w:rsid w:val="00F651B6"/>
    <w:rsid w:val="00F676CC"/>
    <w:rsid w:val="00F727B1"/>
    <w:rsid w:val="00F7691C"/>
    <w:rsid w:val="00F80016"/>
    <w:rsid w:val="00F811C0"/>
    <w:rsid w:val="00F82498"/>
    <w:rsid w:val="00F8785E"/>
    <w:rsid w:val="00F96E60"/>
    <w:rsid w:val="00F97290"/>
    <w:rsid w:val="00FA4370"/>
    <w:rsid w:val="00FA4468"/>
    <w:rsid w:val="00FA5EBA"/>
    <w:rsid w:val="00FA6B0E"/>
    <w:rsid w:val="00FB376A"/>
    <w:rsid w:val="00FB63F0"/>
    <w:rsid w:val="00FB694A"/>
    <w:rsid w:val="00FB77F8"/>
    <w:rsid w:val="00FC0F22"/>
    <w:rsid w:val="00FC20AF"/>
    <w:rsid w:val="00FC54AF"/>
    <w:rsid w:val="00FC7412"/>
    <w:rsid w:val="00FD2671"/>
    <w:rsid w:val="00FD4DDE"/>
    <w:rsid w:val="00FE147A"/>
    <w:rsid w:val="00FF51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DBA212-C9BB-4A36-AB33-01360890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DB"/>
    <w:pPr>
      <w:spacing w:before="240" w:line="360" w:lineRule="auto"/>
      <w:contextualSpacing/>
      <w:jc w:val="both"/>
    </w:pPr>
    <w:rPr>
      <w:sz w:val="24"/>
      <w:szCs w:val="24"/>
    </w:rPr>
  </w:style>
  <w:style w:type="paragraph" w:styleId="Heading1">
    <w:name w:val="heading 1"/>
    <w:basedOn w:val="Normal"/>
    <w:next w:val="Normal"/>
    <w:link w:val="Heading1Char"/>
    <w:qFormat/>
    <w:rsid w:val="002C26DB"/>
    <w:pPr>
      <w:keepNext/>
      <w:keepLines/>
      <w:numPr>
        <w:numId w:val="1"/>
      </w:numPr>
      <w:ind w:left="0" w:firstLine="0"/>
      <w:jc w:val="left"/>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FootnoteText"/>
    <w:rsid w:val="006A3D6C"/>
    <w:pPr>
      <w:spacing w:before="120"/>
    </w:pPr>
    <w:rPr>
      <w:sz w:val="18"/>
      <w:lang w:val="en-GB"/>
    </w:rPr>
  </w:style>
  <w:style w:type="paragraph" w:styleId="FootnoteText">
    <w:name w:val="footnote text"/>
    <w:basedOn w:val="Normal"/>
    <w:semiHidden/>
    <w:rsid w:val="006A3D6C"/>
    <w:rPr>
      <w:sz w:val="20"/>
      <w:szCs w:val="20"/>
    </w:rPr>
  </w:style>
  <w:style w:type="paragraph" w:customStyle="1" w:styleId="Funote">
    <w:name w:val="Fußnote"/>
    <w:basedOn w:val="FootnoteText"/>
    <w:autoRedefine/>
    <w:rsid w:val="006A3D6C"/>
    <w:pPr>
      <w:spacing w:before="120"/>
    </w:pPr>
    <w:rPr>
      <w:sz w:val="16"/>
      <w:lang w:val="en-GB"/>
    </w:rPr>
  </w:style>
  <w:style w:type="paragraph" w:styleId="Title">
    <w:name w:val="Title"/>
    <w:basedOn w:val="Normal"/>
    <w:next w:val="Normal"/>
    <w:link w:val="TitleChar"/>
    <w:qFormat/>
    <w:rsid w:val="002C26DB"/>
    <w:pPr>
      <w:framePr w:wrap="notBeside" w:vAnchor="text" w:hAnchor="text" w:y="1"/>
      <w:jc w:val="center"/>
    </w:pPr>
    <w:rPr>
      <w:rFonts w:eastAsiaTheme="majorEastAsia" w:cstheme="majorBidi"/>
      <w:spacing w:val="5"/>
      <w:kern w:val="28"/>
      <w:sz w:val="48"/>
      <w:szCs w:val="52"/>
    </w:rPr>
  </w:style>
  <w:style w:type="character" w:customStyle="1" w:styleId="TitleChar">
    <w:name w:val="Title Char"/>
    <w:basedOn w:val="DefaultParagraphFont"/>
    <w:link w:val="Title"/>
    <w:rsid w:val="002C26DB"/>
    <w:rPr>
      <w:rFonts w:eastAsiaTheme="majorEastAsia" w:cstheme="majorBidi"/>
      <w:spacing w:val="5"/>
      <w:kern w:val="28"/>
      <w:sz w:val="48"/>
      <w:szCs w:val="52"/>
    </w:rPr>
  </w:style>
  <w:style w:type="character" w:customStyle="1" w:styleId="Heading1Char">
    <w:name w:val="Heading 1 Char"/>
    <w:basedOn w:val="DefaultParagraphFont"/>
    <w:link w:val="Heading1"/>
    <w:rsid w:val="002C26DB"/>
    <w:rPr>
      <w:rFonts w:eastAsiaTheme="majorEastAsia" w:cstheme="majorBidi"/>
      <w:b/>
      <w:bCs/>
      <w:sz w:val="24"/>
      <w:szCs w:val="28"/>
    </w:rPr>
  </w:style>
  <w:style w:type="paragraph" w:styleId="Quote">
    <w:name w:val="Quote"/>
    <w:aliases w:val="Abstract"/>
    <w:basedOn w:val="Normal"/>
    <w:next w:val="Normal"/>
    <w:link w:val="QuoteChar"/>
    <w:uiPriority w:val="29"/>
    <w:qFormat/>
    <w:rsid w:val="002C26DB"/>
    <w:pPr>
      <w:ind w:left="794" w:right="794"/>
    </w:pPr>
    <w:rPr>
      <w:iCs/>
      <w:color w:val="000000" w:themeColor="text1"/>
      <w:sz w:val="20"/>
    </w:rPr>
  </w:style>
  <w:style w:type="character" w:customStyle="1" w:styleId="QuoteChar">
    <w:name w:val="Quote Char"/>
    <w:aliases w:val="Abstract Char"/>
    <w:basedOn w:val="DefaultParagraphFont"/>
    <w:link w:val="Quote"/>
    <w:uiPriority w:val="29"/>
    <w:rsid w:val="002C26DB"/>
    <w:rPr>
      <w:iCs/>
      <w:color w:val="000000" w:themeColor="text1"/>
      <w:szCs w:val="24"/>
    </w:rPr>
  </w:style>
  <w:style w:type="character" w:styleId="SubtleEmphasis">
    <w:name w:val="Subtle Emphasis"/>
    <w:basedOn w:val="DefaultParagraphFont"/>
    <w:uiPriority w:val="19"/>
    <w:qFormat/>
    <w:rsid w:val="002C26DB"/>
    <w:rPr>
      <w:i/>
      <w:iCs/>
      <w:color w:val="808080" w:themeColor="text1" w:themeTint="7F"/>
    </w:rPr>
  </w:style>
  <w:style w:type="paragraph" w:styleId="NoSpacing">
    <w:name w:val="No Spacing"/>
    <w:uiPriority w:val="1"/>
    <w:qFormat/>
    <w:rsid w:val="004D2F94"/>
    <w:pPr>
      <w:contextualSpacing/>
      <w:jc w:val="both"/>
    </w:pPr>
    <w:rPr>
      <w:sz w:val="24"/>
      <w:szCs w:val="24"/>
    </w:rPr>
  </w:style>
  <w:style w:type="character" w:styleId="Emphasis">
    <w:name w:val="Emphasis"/>
    <w:basedOn w:val="DefaultParagraphFont"/>
    <w:qFormat/>
    <w:rsid w:val="004D2F94"/>
    <w:rPr>
      <w:i/>
      <w:iCs/>
    </w:rPr>
  </w:style>
  <w:style w:type="character" w:styleId="Strong">
    <w:name w:val="Strong"/>
    <w:basedOn w:val="DefaultParagraphFont"/>
    <w:qFormat/>
    <w:rsid w:val="004D2F94"/>
    <w:rPr>
      <w:b/>
      <w:bCs/>
    </w:rPr>
  </w:style>
  <w:style w:type="character" w:styleId="FootnoteReference">
    <w:name w:val="footnote reference"/>
    <w:basedOn w:val="DefaultParagraphFont"/>
    <w:rsid w:val="00957CA6"/>
    <w:rPr>
      <w:vertAlign w:val="superscript"/>
    </w:rPr>
  </w:style>
  <w:style w:type="character" w:styleId="Hyperlink">
    <w:name w:val="Hyperlink"/>
    <w:basedOn w:val="DefaultParagraphFont"/>
    <w:rsid w:val="004A4B72"/>
    <w:rPr>
      <w:color w:val="0000FF" w:themeColor="hyperlink"/>
      <w:u w:val="single"/>
    </w:rPr>
  </w:style>
  <w:style w:type="character" w:styleId="FollowedHyperlink">
    <w:name w:val="FollowedHyperlink"/>
    <w:basedOn w:val="DefaultParagraphFont"/>
    <w:rsid w:val="00557E99"/>
    <w:rPr>
      <w:color w:val="800080" w:themeColor="followedHyperlink"/>
      <w:u w:val="single"/>
    </w:rPr>
  </w:style>
  <w:style w:type="paragraph" w:styleId="ListParagraph">
    <w:name w:val="List Paragraph"/>
    <w:basedOn w:val="Normal"/>
    <w:uiPriority w:val="34"/>
    <w:qFormat/>
    <w:rsid w:val="009B2097"/>
    <w:pPr>
      <w:ind w:left="720"/>
    </w:pPr>
  </w:style>
  <w:style w:type="paragraph" w:styleId="BalloonText">
    <w:name w:val="Balloon Text"/>
    <w:basedOn w:val="Normal"/>
    <w:link w:val="BalloonTextChar"/>
    <w:rsid w:val="00B46AF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46AF5"/>
    <w:rPr>
      <w:rFonts w:ascii="Tahoma" w:hAnsi="Tahoma" w:cs="Tahoma"/>
      <w:sz w:val="16"/>
      <w:szCs w:val="16"/>
    </w:rPr>
  </w:style>
  <w:style w:type="paragraph" w:styleId="Caption">
    <w:name w:val="caption"/>
    <w:basedOn w:val="Normal"/>
    <w:next w:val="Normal"/>
    <w:unhideWhenUsed/>
    <w:qFormat/>
    <w:rsid w:val="007A5979"/>
    <w:pPr>
      <w:spacing w:before="0" w:after="200" w:line="240" w:lineRule="auto"/>
    </w:pPr>
    <w:rPr>
      <w:b/>
      <w:bCs/>
      <w:sz w:val="18"/>
      <w:szCs w:val="18"/>
    </w:rPr>
  </w:style>
  <w:style w:type="character" w:styleId="PlaceholderText">
    <w:name w:val="Placeholder Text"/>
    <w:basedOn w:val="DefaultParagraphFont"/>
    <w:uiPriority w:val="99"/>
    <w:semiHidden/>
    <w:rsid w:val="00B35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0033">
      <w:bodyDiv w:val="1"/>
      <w:marLeft w:val="0"/>
      <w:marRight w:val="0"/>
      <w:marTop w:val="0"/>
      <w:marBottom w:val="0"/>
      <w:divBdr>
        <w:top w:val="none" w:sz="0" w:space="0" w:color="auto"/>
        <w:left w:val="none" w:sz="0" w:space="0" w:color="auto"/>
        <w:bottom w:val="none" w:sz="0" w:space="0" w:color="auto"/>
        <w:right w:val="none" w:sz="0" w:space="0" w:color="auto"/>
      </w:divBdr>
    </w:div>
    <w:div w:id="1218473323">
      <w:bodyDiv w:val="1"/>
      <w:marLeft w:val="0"/>
      <w:marRight w:val="0"/>
      <w:marTop w:val="0"/>
      <w:marBottom w:val="0"/>
      <w:divBdr>
        <w:top w:val="none" w:sz="0" w:space="0" w:color="auto"/>
        <w:left w:val="none" w:sz="0" w:space="0" w:color="auto"/>
        <w:bottom w:val="none" w:sz="0" w:space="0" w:color="auto"/>
        <w:right w:val="none" w:sz="0" w:space="0" w:color="auto"/>
      </w:divBdr>
    </w:div>
    <w:div w:id="17339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is.bka.gv.at/Dokumente/BgblAuth/BGBLA_2010_II_277/BGBLA_2010_II_277.pdf" TargetMode="External"/><Relationship Id="rId1" Type="http://schemas.openxmlformats.org/officeDocument/2006/relationships/hyperlink" Target="http://ec.europa.eu/europe2020/europe-2020-in-a-nutshell/targets/index_e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1F84-0027-4CC9-8BE6-D8350273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3432</Words>
  <Characters>19564</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Statistik Austria</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HEUBERGER Richard</dc:creator>
  <cp:lastModifiedBy>XXX</cp:lastModifiedBy>
  <cp:revision>2</cp:revision>
  <cp:lastPrinted>2014-05-28T07:01:00Z</cp:lastPrinted>
  <dcterms:created xsi:type="dcterms:W3CDTF">2014-06-05T20:16:00Z</dcterms:created>
  <dcterms:modified xsi:type="dcterms:W3CDTF">2014-06-05T20:16:00Z</dcterms:modified>
</cp:coreProperties>
</file>