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BD" w:rsidRPr="00FB31BD" w:rsidRDefault="00FB31BD" w:rsidP="00FB31BD">
      <w:pPr>
        <w:spacing w:after="0" w:line="240" w:lineRule="auto"/>
        <w:jc w:val="center"/>
        <w:rPr>
          <w:rFonts w:ascii="Times New Roman" w:eastAsia="Times New Roman" w:hAnsi="Times New Roman" w:cs="Times New Roman"/>
          <w:b/>
          <w:sz w:val="48"/>
          <w:szCs w:val="24"/>
          <w:lang w:val="en-US" w:eastAsia="en-CA"/>
        </w:rPr>
      </w:pPr>
      <w:r w:rsidRPr="00FB31BD">
        <w:rPr>
          <w:rFonts w:ascii="Times New Roman" w:eastAsia="Times New Roman" w:hAnsi="Times New Roman" w:cs="Times New Roman"/>
          <w:b/>
          <w:sz w:val="48"/>
          <w:szCs w:val="24"/>
          <w:lang w:val="en-US" w:eastAsia="en-CA"/>
        </w:rPr>
        <w:t>The new multiple-source system for Italian Structural Business Statistics based on administrative and survey data</w:t>
      </w:r>
    </w:p>
    <w:p w:rsidR="00FB31BD" w:rsidRDefault="00FB31BD" w:rsidP="00FB31BD">
      <w:pPr>
        <w:jc w:val="center"/>
        <w:rPr>
          <w:rFonts w:ascii="Times New Roman" w:eastAsia="Times New Roman" w:hAnsi="Times New Roman" w:cs="Times New Roman"/>
          <w:sz w:val="28"/>
          <w:szCs w:val="24"/>
          <w:lang w:val="en-CA" w:eastAsia="en-CA"/>
        </w:rPr>
      </w:pPr>
    </w:p>
    <w:p w:rsidR="00FB31BD" w:rsidRPr="00FB31BD" w:rsidRDefault="00FB31BD" w:rsidP="00FB31BD">
      <w:pPr>
        <w:spacing w:after="0" w:line="240" w:lineRule="auto"/>
        <w:jc w:val="center"/>
        <w:rPr>
          <w:rFonts w:ascii="Times New Roman" w:eastAsia="Times New Roman" w:hAnsi="Times New Roman" w:cs="Times New Roman"/>
          <w:sz w:val="24"/>
          <w:szCs w:val="20"/>
          <w:lang w:val="en-US" w:eastAsia="en-CA"/>
        </w:rPr>
      </w:pPr>
    </w:p>
    <w:p w:rsidR="00FB31BD" w:rsidRPr="00FB31BD" w:rsidRDefault="00FB31BD" w:rsidP="00FB31BD">
      <w:pPr>
        <w:spacing w:after="0" w:line="240" w:lineRule="auto"/>
        <w:jc w:val="center"/>
        <w:rPr>
          <w:rFonts w:ascii="Times New Roman" w:eastAsia="Times New Roman" w:hAnsi="Times New Roman" w:cs="Times New Roman"/>
          <w:sz w:val="24"/>
          <w:szCs w:val="20"/>
          <w:lang w:eastAsia="en-CA"/>
        </w:rPr>
      </w:pPr>
      <w:r w:rsidRPr="00FB31BD">
        <w:rPr>
          <w:rFonts w:ascii="Times New Roman" w:eastAsia="Times New Roman" w:hAnsi="Times New Roman" w:cs="Times New Roman"/>
          <w:sz w:val="24"/>
          <w:szCs w:val="20"/>
          <w:lang w:eastAsia="en-CA"/>
        </w:rPr>
        <w:t xml:space="preserve">Orietta LUZI, Ugo GUARNERA and </w:t>
      </w:r>
      <w:r>
        <w:rPr>
          <w:rFonts w:ascii="Times New Roman" w:eastAsia="Times New Roman" w:hAnsi="Times New Roman" w:cs="Times New Roman"/>
          <w:sz w:val="24"/>
          <w:szCs w:val="20"/>
          <w:lang w:eastAsia="en-CA"/>
        </w:rPr>
        <w:t>Paolo RIGHI</w:t>
      </w:r>
    </w:p>
    <w:p w:rsidR="00FB31BD" w:rsidRPr="00FB31BD" w:rsidRDefault="00FB31BD" w:rsidP="00FB31BD">
      <w:pPr>
        <w:spacing w:after="0" w:line="240" w:lineRule="auto"/>
        <w:jc w:val="center"/>
        <w:rPr>
          <w:rFonts w:ascii="Times New Roman" w:eastAsia="Times New Roman" w:hAnsi="Times New Roman" w:cs="Times New Roman"/>
          <w:sz w:val="24"/>
          <w:szCs w:val="20"/>
          <w:lang w:val="en-US" w:eastAsia="en-CA"/>
        </w:rPr>
      </w:pPr>
      <w:r>
        <w:rPr>
          <w:rFonts w:ascii="Times New Roman" w:eastAsia="Times New Roman" w:hAnsi="Times New Roman" w:cs="Times New Roman"/>
          <w:sz w:val="24"/>
          <w:szCs w:val="20"/>
          <w:lang w:val="en-US" w:eastAsia="en-CA"/>
        </w:rPr>
        <w:t>ISTAT - Italian National Statistical Institute</w:t>
      </w:r>
    </w:p>
    <w:p w:rsidR="00FB31BD" w:rsidRPr="00342499" w:rsidRDefault="00FB31BD" w:rsidP="00342499">
      <w:pPr>
        <w:spacing w:after="0" w:line="240" w:lineRule="auto"/>
        <w:jc w:val="both"/>
        <w:rPr>
          <w:rFonts w:ascii="Times New Roman" w:eastAsia="Times New Roman" w:hAnsi="Times New Roman" w:cs="Times New Roman"/>
          <w:sz w:val="24"/>
          <w:szCs w:val="24"/>
          <w:lang w:val="en-CA" w:eastAsia="en-CA"/>
        </w:rPr>
      </w:pPr>
    </w:p>
    <w:p w:rsidR="00FB31BD" w:rsidRPr="00342499" w:rsidRDefault="00FB31BD" w:rsidP="00342499">
      <w:pPr>
        <w:spacing w:after="0" w:line="240" w:lineRule="auto"/>
        <w:jc w:val="both"/>
        <w:rPr>
          <w:rFonts w:ascii="Times New Roman" w:eastAsia="Times New Roman" w:hAnsi="Times New Roman" w:cs="Times New Roman"/>
          <w:sz w:val="24"/>
          <w:szCs w:val="24"/>
          <w:lang w:val="en-CA" w:eastAsia="en-CA"/>
        </w:rPr>
      </w:pPr>
    </w:p>
    <w:p w:rsidR="00FB31BD" w:rsidRPr="00342499" w:rsidRDefault="00FB31BD" w:rsidP="00342499">
      <w:pPr>
        <w:spacing w:after="0" w:line="240" w:lineRule="auto"/>
        <w:jc w:val="center"/>
        <w:rPr>
          <w:rFonts w:ascii="Times New Roman" w:eastAsia="Times New Roman" w:hAnsi="Times New Roman" w:cs="Times New Roman"/>
          <w:b/>
          <w:sz w:val="24"/>
          <w:szCs w:val="24"/>
          <w:lang w:val="en-CA" w:eastAsia="en-CA"/>
        </w:rPr>
      </w:pPr>
      <w:r w:rsidRPr="00342499">
        <w:rPr>
          <w:rFonts w:ascii="Times New Roman" w:eastAsia="Times New Roman" w:hAnsi="Times New Roman" w:cs="Times New Roman"/>
          <w:b/>
          <w:sz w:val="24"/>
          <w:szCs w:val="24"/>
          <w:lang w:val="en-CA" w:eastAsia="en-CA"/>
        </w:rPr>
        <w:t>Abstract</w:t>
      </w:r>
    </w:p>
    <w:p w:rsidR="00FB31BD" w:rsidRPr="00342499" w:rsidRDefault="00FB31BD" w:rsidP="00342499">
      <w:pPr>
        <w:spacing w:after="0" w:line="240" w:lineRule="auto"/>
        <w:jc w:val="center"/>
        <w:rPr>
          <w:rFonts w:ascii="Times New Roman" w:eastAsia="Times New Roman" w:hAnsi="Times New Roman" w:cs="Times New Roman"/>
          <w:b/>
          <w:sz w:val="24"/>
          <w:szCs w:val="24"/>
          <w:lang w:val="en-CA" w:eastAsia="en-CA"/>
        </w:rPr>
      </w:pPr>
    </w:p>
    <w:p w:rsidR="00342499" w:rsidRPr="009135D8" w:rsidRDefault="00342499" w:rsidP="00342499">
      <w:pPr>
        <w:spacing w:after="120" w:line="360" w:lineRule="auto"/>
        <w:ind w:left="1134" w:right="1134"/>
        <w:jc w:val="both"/>
        <w:rPr>
          <w:rFonts w:ascii="Times New Roman" w:eastAsia="Times New Roman" w:hAnsi="Times New Roman" w:cs="Times New Roman"/>
          <w:sz w:val="20"/>
          <w:szCs w:val="24"/>
          <w:lang w:val="en-US" w:eastAsia="en-CA"/>
        </w:rPr>
      </w:pPr>
      <w:r w:rsidRPr="00C30B5D">
        <w:rPr>
          <w:rFonts w:ascii="Times New Roman" w:eastAsia="Times New Roman" w:hAnsi="Times New Roman" w:cs="Times New Roman"/>
          <w:sz w:val="20"/>
          <w:szCs w:val="24"/>
          <w:lang w:val="en-US" w:eastAsia="en-CA"/>
        </w:rPr>
        <w:t xml:space="preserve">In </w:t>
      </w:r>
      <w:proofErr w:type="spellStart"/>
      <w:r w:rsidRPr="00C30B5D">
        <w:rPr>
          <w:rFonts w:ascii="Times New Roman" w:eastAsia="Times New Roman" w:hAnsi="Times New Roman" w:cs="Times New Roman"/>
          <w:sz w:val="20"/>
          <w:szCs w:val="24"/>
          <w:lang w:val="en-US" w:eastAsia="en-CA"/>
        </w:rPr>
        <w:t>Istat</w:t>
      </w:r>
      <w:proofErr w:type="spellEnd"/>
      <w:r w:rsidRPr="00C30B5D">
        <w:rPr>
          <w:rFonts w:ascii="Times New Roman" w:eastAsia="Times New Roman" w:hAnsi="Times New Roman" w:cs="Times New Roman"/>
          <w:sz w:val="20"/>
          <w:szCs w:val="24"/>
          <w:lang w:val="en-US" w:eastAsia="en-CA"/>
        </w:rPr>
        <w:t xml:space="preserve">, Structural Business Statistics for small and medium enterprises are traditionally based on sample surveys. </w:t>
      </w:r>
      <w:r w:rsidR="007E7A68" w:rsidRPr="00C30B5D">
        <w:rPr>
          <w:rFonts w:ascii="Times New Roman" w:eastAsia="Times New Roman" w:hAnsi="Times New Roman" w:cs="Times New Roman"/>
          <w:sz w:val="20"/>
          <w:szCs w:val="24"/>
          <w:lang w:val="en-US" w:eastAsia="en-CA"/>
        </w:rPr>
        <w:t>T</w:t>
      </w:r>
      <w:r w:rsidRPr="00C30B5D">
        <w:rPr>
          <w:rFonts w:ascii="Times New Roman" w:eastAsia="Times New Roman" w:hAnsi="Times New Roman" w:cs="Times New Roman"/>
          <w:sz w:val="20"/>
          <w:szCs w:val="24"/>
          <w:lang w:val="en-US" w:eastAsia="en-CA"/>
        </w:rPr>
        <w:t xml:space="preserve">he increasing availability of </w:t>
      </w:r>
      <w:r w:rsidR="007E7A68" w:rsidRPr="00C30B5D">
        <w:rPr>
          <w:rFonts w:ascii="Times New Roman" w:eastAsia="Times New Roman" w:hAnsi="Times New Roman" w:cs="Times New Roman"/>
          <w:sz w:val="20"/>
          <w:szCs w:val="24"/>
          <w:lang w:val="en-US" w:eastAsia="en-CA"/>
        </w:rPr>
        <w:t xml:space="preserve">stable and timely </w:t>
      </w:r>
      <w:r w:rsidRPr="00C30B5D">
        <w:rPr>
          <w:rFonts w:ascii="Times New Roman" w:eastAsia="Times New Roman" w:hAnsi="Times New Roman" w:cs="Times New Roman"/>
          <w:sz w:val="20"/>
          <w:szCs w:val="24"/>
          <w:lang w:val="en-US" w:eastAsia="en-CA"/>
        </w:rPr>
        <w:t>information from administrative sources</w:t>
      </w:r>
      <w:r w:rsidR="007E7A68" w:rsidRPr="00C30B5D">
        <w:rPr>
          <w:rFonts w:ascii="Times New Roman" w:eastAsia="Times New Roman" w:hAnsi="Times New Roman" w:cs="Times New Roman"/>
          <w:sz w:val="20"/>
          <w:szCs w:val="24"/>
          <w:lang w:val="en-US" w:eastAsia="en-CA"/>
        </w:rPr>
        <w:t xml:space="preserve"> has made it possible to use them as a primary source for information to produce SBS, overcoming their use as essentially auxiliary information to treat non-response in survey data and to calibrate the estimates. The paper illustrates the main characteristics and methodological features of the new statistical information system </w:t>
      </w:r>
      <w:r w:rsidR="00B85B9E" w:rsidRPr="00C30B5D">
        <w:rPr>
          <w:rFonts w:ascii="Times New Roman" w:eastAsia="Times New Roman" w:hAnsi="Times New Roman" w:cs="Times New Roman"/>
          <w:sz w:val="20"/>
          <w:szCs w:val="24"/>
          <w:lang w:val="en-US" w:eastAsia="en-CA"/>
        </w:rPr>
        <w:t xml:space="preserve">(called frame) </w:t>
      </w:r>
      <w:r w:rsidR="007E7A68" w:rsidRPr="00C30B5D">
        <w:rPr>
          <w:rFonts w:ascii="Times New Roman" w:eastAsia="Times New Roman" w:hAnsi="Times New Roman" w:cs="Times New Roman"/>
          <w:sz w:val="20"/>
          <w:szCs w:val="24"/>
          <w:lang w:val="en-US" w:eastAsia="en-CA"/>
        </w:rPr>
        <w:t xml:space="preserve">based on </w:t>
      </w:r>
      <w:r w:rsidR="00B85B9E" w:rsidRPr="00C30B5D">
        <w:rPr>
          <w:rFonts w:ascii="Times New Roman" w:eastAsia="Times New Roman" w:hAnsi="Times New Roman" w:cs="Times New Roman"/>
          <w:sz w:val="20"/>
          <w:szCs w:val="24"/>
          <w:lang w:val="en-US" w:eastAsia="en-CA"/>
        </w:rPr>
        <w:t xml:space="preserve">the </w:t>
      </w:r>
      <w:r w:rsidR="007E7A68" w:rsidRPr="00C30B5D">
        <w:rPr>
          <w:rFonts w:ascii="Times New Roman" w:eastAsia="Times New Roman" w:hAnsi="Times New Roman" w:cs="Times New Roman"/>
          <w:sz w:val="20"/>
          <w:szCs w:val="24"/>
          <w:lang w:val="en-US" w:eastAsia="en-CA"/>
        </w:rPr>
        <w:t xml:space="preserve">integrated </w:t>
      </w:r>
      <w:r w:rsidR="00B85B9E" w:rsidRPr="00C30B5D">
        <w:rPr>
          <w:rFonts w:ascii="Times New Roman" w:eastAsia="Times New Roman" w:hAnsi="Times New Roman" w:cs="Times New Roman"/>
          <w:sz w:val="20"/>
          <w:szCs w:val="24"/>
          <w:lang w:val="en-US" w:eastAsia="en-CA"/>
        </w:rPr>
        <w:t xml:space="preserve">use of </w:t>
      </w:r>
      <w:r w:rsidR="007E7A68" w:rsidRPr="00C30B5D">
        <w:rPr>
          <w:rFonts w:ascii="Times New Roman" w:eastAsia="Times New Roman" w:hAnsi="Times New Roman" w:cs="Times New Roman"/>
          <w:sz w:val="20"/>
          <w:szCs w:val="24"/>
          <w:lang w:val="en-US" w:eastAsia="en-CA"/>
        </w:rPr>
        <w:t>administrative archives</w:t>
      </w:r>
      <w:r w:rsidR="00B85B9E" w:rsidRPr="00C30B5D">
        <w:rPr>
          <w:rFonts w:ascii="Times New Roman" w:eastAsia="Times New Roman" w:hAnsi="Times New Roman" w:cs="Times New Roman"/>
          <w:sz w:val="20"/>
          <w:szCs w:val="24"/>
          <w:lang w:val="en-US" w:eastAsia="en-CA"/>
        </w:rPr>
        <w:t xml:space="preserve"> recently</w:t>
      </w:r>
      <w:r w:rsidR="007E7A68" w:rsidRPr="00C30B5D">
        <w:rPr>
          <w:rFonts w:ascii="Times New Roman" w:eastAsia="Times New Roman" w:hAnsi="Times New Roman" w:cs="Times New Roman"/>
          <w:sz w:val="20"/>
          <w:szCs w:val="24"/>
          <w:lang w:val="en-US" w:eastAsia="en-CA"/>
        </w:rPr>
        <w:t xml:space="preserve"> produced at </w:t>
      </w:r>
      <w:proofErr w:type="spellStart"/>
      <w:r w:rsidR="007E7A68" w:rsidRPr="00C30B5D">
        <w:rPr>
          <w:rFonts w:ascii="Times New Roman" w:eastAsia="Times New Roman" w:hAnsi="Times New Roman" w:cs="Times New Roman"/>
          <w:sz w:val="20"/>
          <w:szCs w:val="24"/>
          <w:lang w:val="en-US" w:eastAsia="en-CA"/>
        </w:rPr>
        <w:t>Istat</w:t>
      </w:r>
      <w:proofErr w:type="spellEnd"/>
      <w:r w:rsidR="00B85B9E" w:rsidRPr="00C30B5D">
        <w:rPr>
          <w:rFonts w:ascii="Times New Roman" w:eastAsia="Times New Roman" w:hAnsi="Times New Roman" w:cs="Times New Roman"/>
          <w:sz w:val="20"/>
          <w:szCs w:val="24"/>
          <w:lang w:val="en-US" w:eastAsia="en-CA"/>
        </w:rPr>
        <w:t>. In the paper</w:t>
      </w:r>
      <w:r w:rsidR="007E7A68" w:rsidRPr="00C30B5D">
        <w:rPr>
          <w:rFonts w:ascii="Times New Roman" w:eastAsia="Times New Roman" w:hAnsi="Times New Roman" w:cs="Times New Roman"/>
          <w:sz w:val="20"/>
          <w:szCs w:val="24"/>
          <w:lang w:val="en-US" w:eastAsia="en-CA"/>
        </w:rPr>
        <w:t xml:space="preserve"> </w:t>
      </w:r>
      <w:r w:rsidR="00B85B9E" w:rsidRPr="00C30B5D">
        <w:rPr>
          <w:rFonts w:ascii="Times New Roman" w:eastAsia="Times New Roman" w:hAnsi="Times New Roman" w:cs="Times New Roman"/>
          <w:sz w:val="20"/>
          <w:szCs w:val="24"/>
          <w:lang w:val="en-US" w:eastAsia="en-CA"/>
        </w:rPr>
        <w:t>the</w:t>
      </w:r>
      <w:r w:rsidR="007E7A68" w:rsidRPr="00C30B5D">
        <w:rPr>
          <w:rFonts w:ascii="Times New Roman" w:eastAsia="Times New Roman" w:hAnsi="Times New Roman" w:cs="Times New Roman"/>
          <w:sz w:val="20"/>
          <w:szCs w:val="24"/>
          <w:lang w:val="en-US" w:eastAsia="en-CA"/>
        </w:rPr>
        <w:t xml:space="preserve"> overall production process</w:t>
      </w:r>
      <w:r w:rsidR="00B85B9E" w:rsidRPr="00C30B5D">
        <w:rPr>
          <w:rFonts w:ascii="Times New Roman" w:eastAsia="Times New Roman" w:hAnsi="Times New Roman" w:cs="Times New Roman"/>
          <w:sz w:val="20"/>
          <w:szCs w:val="24"/>
          <w:lang w:val="en-US" w:eastAsia="en-CA"/>
        </w:rPr>
        <w:t xml:space="preserve"> of the</w:t>
      </w:r>
      <w:r w:rsidR="007E7A68" w:rsidRPr="00C30B5D">
        <w:rPr>
          <w:rFonts w:ascii="Times New Roman" w:eastAsia="Times New Roman" w:hAnsi="Times New Roman" w:cs="Times New Roman"/>
          <w:sz w:val="20"/>
          <w:szCs w:val="24"/>
          <w:lang w:val="en-US" w:eastAsia="en-CA"/>
        </w:rPr>
        <w:t xml:space="preserve"> frame, and the </w:t>
      </w:r>
      <w:r w:rsidR="00B85B9E" w:rsidRPr="00C30B5D">
        <w:rPr>
          <w:rFonts w:ascii="Times New Roman" w:eastAsia="Times New Roman" w:hAnsi="Times New Roman" w:cs="Times New Roman"/>
          <w:sz w:val="20"/>
          <w:szCs w:val="24"/>
          <w:lang w:val="en-US" w:eastAsia="en-CA"/>
        </w:rPr>
        <w:t xml:space="preserve">methodological </w:t>
      </w:r>
      <w:r w:rsidR="007E7A68" w:rsidRPr="00C30B5D">
        <w:rPr>
          <w:rFonts w:ascii="Times New Roman" w:eastAsia="Times New Roman" w:hAnsi="Times New Roman" w:cs="Times New Roman"/>
          <w:sz w:val="20"/>
          <w:szCs w:val="24"/>
          <w:lang w:val="en-US" w:eastAsia="en-CA"/>
        </w:rPr>
        <w:t xml:space="preserve">solutions adopted </w:t>
      </w:r>
      <w:r w:rsidR="00B85B9E" w:rsidRPr="00C30B5D">
        <w:rPr>
          <w:rFonts w:ascii="Times New Roman" w:eastAsia="Times New Roman" w:hAnsi="Times New Roman" w:cs="Times New Roman"/>
          <w:sz w:val="20"/>
          <w:szCs w:val="24"/>
          <w:lang w:val="en-US" w:eastAsia="en-CA"/>
        </w:rPr>
        <w:t>in the new information context are illustrated</w:t>
      </w:r>
      <w:r w:rsidR="007E7A68" w:rsidRPr="009135D8">
        <w:rPr>
          <w:rFonts w:ascii="Times New Roman" w:eastAsia="Times New Roman" w:hAnsi="Times New Roman" w:cs="Times New Roman"/>
          <w:sz w:val="20"/>
          <w:szCs w:val="24"/>
          <w:lang w:val="en-US" w:eastAsia="en-CA"/>
        </w:rPr>
        <w:t>.</w:t>
      </w:r>
    </w:p>
    <w:p w:rsidR="00FB31BD" w:rsidRPr="00C30B5D" w:rsidRDefault="00FB31BD" w:rsidP="00342499">
      <w:pPr>
        <w:spacing w:after="120" w:line="360" w:lineRule="auto"/>
        <w:ind w:left="1134" w:right="1134"/>
        <w:jc w:val="both"/>
        <w:rPr>
          <w:rFonts w:ascii="Times New Roman" w:eastAsia="Times New Roman" w:hAnsi="Times New Roman" w:cs="Times New Roman"/>
          <w:b/>
          <w:sz w:val="20"/>
          <w:szCs w:val="24"/>
          <w:lang w:val="en-US" w:eastAsia="en-CA"/>
        </w:rPr>
      </w:pPr>
      <w:r w:rsidRPr="00342499">
        <w:rPr>
          <w:rFonts w:ascii="Times New Roman" w:eastAsia="Times New Roman" w:hAnsi="Times New Roman" w:cs="Times New Roman"/>
          <w:b/>
          <w:sz w:val="20"/>
          <w:szCs w:val="24"/>
          <w:lang w:val="en-US" w:eastAsia="en-CA"/>
        </w:rPr>
        <w:t>Key words:</w:t>
      </w:r>
      <w:r w:rsidRPr="00C30B5D">
        <w:rPr>
          <w:rFonts w:ascii="Times New Roman" w:eastAsia="Times New Roman" w:hAnsi="Times New Roman" w:cs="Times New Roman"/>
          <w:b/>
          <w:sz w:val="20"/>
          <w:szCs w:val="24"/>
          <w:lang w:val="en-US" w:eastAsia="en-CA"/>
        </w:rPr>
        <w:t xml:space="preserve"> </w:t>
      </w:r>
      <w:r w:rsidR="00342499" w:rsidRPr="00C30B5D">
        <w:rPr>
          <w:rFonts w:ascii="Times New Roman" w:eastAsia="Times New Roman" w:hAnsi="Times New Roman" w:cs="Times New Roman"/>
          <w:sz w:val="20"/>
          <w:szCs w:val="24"/>
          <w:lang w:val="en-US" w:eastAsia="en-CA"/>
        </w:rPr>
        <w:t xml:space="preserve">administrative data, structural business statistics, imputation, </w:t>
      </w:r>
      <w:r w:rsidR="00C30B5D">
        <w:rPr>
          <w:rFonts w:ascii="Times New Roman" w:eastAsia="Times New Roman" w:hAnsi="Times New Roman" w:cs="Times New Roman"/>
          <w:sz w:val="20"/>
          <w:szCs w:val="24"/>
          <w:lang w:val="en-US" w:eastAsia="en-CA"/>
        </w:rPr>
        <w:t xml:space="preserve">projection </w:t>
      </w:r>
      <w:r w:rsidR="00342499" w:rsidRPr="00C30B5D">
        <w:rPr>
          <w:rFonts w:ascii="Times New Roman" w:eastAsia="Times New Roman" w:hAnsi="Times New Roman" w:cs="Times New Roman"/>
          <w:sz w:val="20"/>
          <w:szCs w:val="24"/>
          <w:lang w:val="en-US" w:eastAsia="en-CA"/>
        </w:rPr>
        <w:t>estimat</w:t>
      </w:r>
      <w:r w:rsidR="00C30B5D">
        <w:rPr>
          <w:rFonts w:ascii="Times New Roman" w:eastAsia="Times New Roman" w:hAnsi="Times New Roman" w:cs="Times New Roman"/>
          <w:sz w:val="20"/>
          <w:szCs w:val="24"/>
          <w:lang w:val="en-US" w:eastAsia="en-CA"/>
        </w:rPr>
        <w:t>or</w:t>
      </w:r>
    </w:p>
    <w:p w:rsidR="00342499" w:rsidRPr="00342499" w:rsidRDefault="00342499" w:rsidP="00342499">
      <w:pPr>
        <w:spacing w:after="0" w:line="240" w:lineRule="auto"/>
        <w:jc w:val="both"/>
        <w:rPr>
          <w:rFonts w:ascii="Times New Roman" w:eastAsia="Times New Roman" w:hAnsi="Times New Roman" w:cs="Times New Roman"/>
          <w:sz w:val="24"/>
          <w:szCs w:val="24"/>
          <w:lang w:val="en-CA" w:eastAsia="en-CA"/>
        </w:rPr>
      </w:pPr>
    </w:p>
    <w:p w:rsidR="003E694C" w:rsidRPr="008B4692" w:rsidRDefault="003E694C" w:rsidP="008608CD">
      <w:pPr>
        <w:numPr>
          <w:ilvl w:val="0"/>
          <w:numId w:val="7"/>
        </w:numPr>
        <w:shd w:val="clear" w:color="auto" w:fill="FFFFFF"/>
        <w:spacing w:before="240" w:after="240" w:line="360" w:lineRule="auto"/>
        <w:ind w:left="0" w:firstLine="0"/>
        <w:rPr>
          <w:rFonts w:ascii="Times New Roman" w:eastAsia="Times New Roman" w:hAnsi="Times New Roman" w:cs="Times New Roman"/>
          <w:b/>
          <w:sz w:val="24"/>
          <w:szCs w:val="24"/>
          <w:lang w:val="en" w:eastAsia="it-IT"/>
        </w:rPr>
      </w:pPr>
      <w:r w:rsidRPr="008B4692">
        <w:rPr>
          <w:rFonts w:ascii="Times New Roman" w:eastAsia="Times New Roman" w:hAnsi="Times New Roman" w:cs="Times New Roman"/>
          <w:b/>
          <w:sz w:val="24"/>
          <w:szCs w:val="24"/>
          <w:lang w:val="en" w:eastAsia="it-IT"/>
        </w:rPr>
        <w:t>Introduction</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Increasing the efficiency and consistency of statistical production processes is </w:t>
      </w:r>
      <w:r w:rsidR="00847C1A" w:rsidRPr="008B4692">
        <w:rPr>
          <w:rFonts w:ascii="Times New Roman" w:eastAsia="Times New Roman" w:hAnsi="Times New Roman" w:cs="Times New Roman"/>
          <w:sz w:val="24"/>
          <w:szCs w:val="24"/>
          <w:lang w:val="en" w:eastAsia="it-IT"/>
        </w:rPr>
        <w:t>an issue</w:t>
      </w:r>
      <w:r w:rsidRPr="008B4692">
        <w:rPr>
          <w:rFonts w:ascii="Times New Roman" w:eastAsia="Times New Roman" w:hAnsi="Times New Roman" w:cs="Times New Roman"/>
          <w:sz w:val="24"/>
          <w:szCs w:val="24"/>
          <w:lang w:val="en" w:eastAsia="it-IT"/>
        </w:rPr>
        <w:t xml:space="preserve"> in the area of Structural Busin</w:t>
      </w:r>
      <w:r w:rsidR="00847C1A" w:rsidRPr="008B4692">
        <w:rPr>
          <w:rFonts w:ascii="Times New Roman" w:eastAsia="Times New Roman" w:hAnsi="Times New Roman" w:cs="Times New Roman"/>
          <w:sz w:val="24"/>
          <w:szCs w:val="24"/>
          <w:lang w:val="en" w:eastAsia="it-IT"/>
        </w:rPr>
        <w:t>ess Statistics (hereafter SBS)</w:t>
      </w:r>
      <w:r w:rsidR="00F37BF6" w:rsidRPr="008B4692">
        <w:rPr>
          <w:rFonts w:ascii="Times New Roman" w:eastAsia="Times New Roman" w:hAnsi="Times New Roman" w:cs="Times New Roman"/>
          <w:sz w:val="24"/>
          <w:szCs w:val="24"/>
          <w:lang w:val="en" w:eastAsia="it-IT"/>
        </w:rPr>
        <w:t xml:space="preserve"> mainly due to the facts that </w:t>
      </w:r>
      <w:r w:rsidRPr="008B4692">
        <w:rPr>
          <w:rFonts w:ascii="Times New Roman" w:eastAsia="Times New Roman" w:hAnsi="Times New Roman" w:cs="Times New Roman"/>
          <w:sz w:val="24"/>
          <w:szCs w:val="24"/>
          <w:lang w:val="en" w:eastAsia="it-IT"/>
        </w:rPr>
        <w:t xml:space="preserve">the Italian economic system is characterized by a large amount enterprises (about 4.5 million of units), and a high level of </w:t>
      </w:r>
      <w:r w:rsidR="00F37BF6" w:rsidRPr="008B4692">
        <w:rPr>
          <w:rFonts w:ascii="Times New Roman" w:eastAsia="Times New Roman" w:hAnsi="Times New Roman" w:cs="Times New Roman"/>
          <w:sz w:val="24"/>
          <w:szCs w:val="24"/>
          <w:lang w:val="en" w:eastAsia="it-IT"/>
        </w:rPr>
        <w:t xml:space="preserve">detail </w:t>
      </w:r>
      <w:r w:rsidRPr="008B4692">
        <w:rPr>
          <w:rFonts w:ascii="Times New Roman" w:eastAsia="Times New Roman" w:hAnsi="Times New Roman" w:cs="Times New Roman"/>
          <w:sz w:val="24"/>
          <w:szCs w:val="24"/>
          <w:lang w:val="en" w:eastAsia="it-IT"/>
        </w:rPr>
        <w:t xml:space="preserve">is required by the current SBS Regulations. Actually, </w:t>
      </w:r>
      <w:proofErr w:type="spellStart"/>
      <w:r w:rsidRPr="008B4692">
        <w:rPr>
          <w:rFonts w:ascii="Times New Roman" w:eastAsia="Times New Roman" w:hAnsi="Times New Roman" w:cs="Times New Roman"/>
          <w:sz w:val="24"/>
          <w:szCs w:val="24"/>
          <w:lang w:val="en" w:eastAsia="it-IT"/>
        </w:rPr>
        <w:t>Istat</w:t>
      </w:r>
      <w:proofErr w:type="spellEnd"/>
      <w:r w:rsidRPr="008B4692">
        <w:rPr>
          <w:rFonts w:ascii="Times New Roman" w:eastAsia="Times New Roman" w:hAnsi="Times New Roman" w:cs="Times New Roman"/>
          <w:sz w:val="24"/>
          <w:szCs w:val="24"/>
          <w:lang w:val="en" w:eastAsia="it-IT"/>
        </w:rPr>
        <w:t xml:space="preserve"> has been working from several years to the reduction of SBS production costs and </w:t>
      </w:r>
      <w:r w:rsidR="00F37BF6" w:rsidRPr="008B4692">
        <w:rPr>
          <w:rFonts w:ascii="Times New Roman" w:eastAsia="Times New Roman" w:hAnsi="Times New Roman" w:cs="Times New Roman"/>
          <w:sz w:val="24"/>
          <w:szCs w:val="24"/>
          <w:lang w:val="en" w:eastAsia="it-IT"/>
        </w:rPr>
        <w:t xml:space="preserve">burden </w:t>
      </w:r>
      <w:r w:rsidRPr="008B4692">
        <w:rPr>
          <w:rFonts w:ascii="Times New Roman" w:eastAsia="Times New Roman" w:hAnsi="Times New Roman" w:cs="Times New Roman"/>
          <w:sz w:val="24"/>
          <w:szCs w:val="24"/>
          <w:lang w:val="en" w:eastAsia="it-IT"/>
        </w:rPr>
        <w:t xml:space="preserve">on enterprises by exploiting administrative and fiscal data sources (hereafter AD), especially on small and medium enterprises (see for example </w:t>
      </w:r>
      <w:r w:rsidR="005B3EC3" w:rsidRPr="008B4692">
        <w:rPr>
          <w:rFonts w:ascii="Times New Roman" w:eastAsia="Times New Roman" w:hAnsi="Times New Roman" w:cs="Times New Roman"/>
          <w:sz w:val="24"/>
          <w:szCs w:val="24"/>
          <w:lang w:val="en" w:eastAsia="it-IT"/>
        </w:rPr>
        <w:t>[1]</w:t>
      </w:r>
      <w:r w:rsidRPr="008B4692">
        <w:rPr>
          <w:rFonts w:ascii="Times New Roman" w:eastAsia="Times New Roman" w:hAnsi="Times New Roman" w:cs="Times New Roman"/>
          <w:sz w:val="24"/>
          <w:szCs w:val="24"/>
          <w:lang w:val="en" w:eastAsia="it-IT"/>
        </w:rPr>
        <w:t xml:space="preserve">; </w:t>
      </w:r>
      <w:r w:rsidR="005B3EC3" w:rsidRPr="008B4692">
        <w:rPr>
          <w:rFonts w:ascii="Times New Roman" w:eastAsia="Times New Roman" w:hAnsi="Times New Roman" w:cs="Times New Roman"/>
          <w:sz w:val="24"/>
          <w:szCs w:val="24"/>
          <w:lang w:val="en" w:eastAsia="it-IT"/>
        </w:rPr>
        <w:t>[2]</w:t>
      </w:r>
      <w:r w:rsidRPr="008B4692">
        <w:rPr>
          <w:rFonts w:ascii="Times New Roman" w:eastAsia="Times New Roman" w:hAnsi="Times New Roman" w:cs="Times New Roman"/>
          <w:sz w:val="24"/>
          <w:szCs w:val="24"/>
          <w:lang w:val="en" w:eastAsia="it-IT"/>
        </w:rPr>
        <w:t>;</w:t>
      </w:r>
      <w:r w:rsidR="005B3EC3" w:rsidRPr="008B4692">
        <w:rPr>
          <w:rFonts w:ascii="Times New Roman" w:eastAsia="Times New Roman" w:hAnsi="Times New Roman" w:cs="Times New Roman"/>
          <w:sz w:val="24"/>
          <w:szCs w:val="24"/>
          <w:lang w:val="en" w:eastAsia="it-IT"/>
        </w:rPr>
        <w:t xml:space="preserve"> [5</w:t>
      </w:r>
      <w:r w:rsidR="00136891" w:rsidRPr="008B4692">
        <w:rPr>
          <w:rFonts w:ascii="Times New Roman" w:eastAsia="Times New Roman" w:hAnsi="Times New Roman" w:cs="Times New Roman"/>
          <w:sz w:val="24"/>
          <w:szCs w:val="24"/>
          <w:lang w:val="en" w:eastAsia="it-IT"/>
        </w:rPr>
        <w:t>]</w:t>
      </w:r>
      <w:r w:rsidRPr="008B4692">
        <w:rPr>
          <w:rFonts w:ascii="Times New Roman" w:eastAsia="Times New Roman" w:hAnsi="Times New Roman" w:cs="Times New Roman"/>
          <w:sz w:val="24"/>
          <w:szCs w:val="24"/>
          <w:lang w:val="en" w:eastAsia="it-IT"/>
        </w:rPr>
        <w:t>).</w:t>
      </w:r>
      <w:r w:rsidR="00F37BF6" w:rsidRPr="008B4692">
        <w:rPr>
          <w:rFonts w:ascii="Times New Roman" w:eastAsia="Times New Roman" w:hAnsi="Times New Roman" w:cs="Times New Roman"/>
          <w:sz w:val="24"/>
          <w:szCs w:val="24"/>
          <w:lang w:val="en" w:eastAsia="it-IT"/>
        </w:rPr>
        <w:t xml:space="preserve"> </w:t>
      </w:r>
      <w:r w:rsidRPr="008B4692">
        <w:rPr>
          <w:rFonts w:ascii="Times New Roman" w:eastAsia="Times New Roman" w:hAnsi="Times New Roman" w:cs="Times New Roman"/>
          <w:sz w:val="24"/>
          <w:szCs w:val="24"/>
          <w:lang w:val="en" w:eastAsia="it-IT"/>
        </w:rPr>
        <w:t xml:space="preserve">In this specific context, in 2013 the </w:t>
      </w:r>
      <w:proofErr w:type="spellStart"/>
      <w:r w:rsidRPr="008B4692">
        <w:rPr>
          <w:rFonts w:ascii="Times New Roman" w:eastAsia="Times New Roman" w:hAnsi="Times New Roman" w:cs="Times New Roman"/>
          <w:sz w:val="24"/>
          <w:szCs w:val="24"/>
          <w:lang w:val="en" w:eastAsia="it-IT"/>
        </w:rPr>
        <w:t>Istat</w:t>
      </w:r>
      <w:proofErr w:type="spellEnd"/>
      <w:r w:rsidRPr="008B4692">
        <w:rPr>
          <w:rFonts w:ascii="Times New Roman" w:eastAsia="Times New Roman" w:hAnsi="Times New Roman" w:cs="Times New Roman"/>
          <w:sz w:val="24"/>
          <w:szCs w:val="24"/>
          <w:lang w:val="en" w:eastAsia="it-IT"/>
        </w:rPr>
        <w:t xml:space="preserve"> Department for National Accounts and Economic Statistics has achieved a strategic result, consisting in the completion of a firm-level integrated Statistical Data Warehouse (“</w:t>
      </w:r>
      <w:r w:rsidR="005B3EC3" w:rsidRPr="008B4692">
        <w:rPr>
          <w:rFonts w:ascii="Times New Roman" w:eastAsia="Times New Roman" w:hAnsi="Times New Roman" w:cs="Times New Roman"/>
          <w:sz w:val="24"/>
          <w:szCs w:val="24"/>
          <w:lang w:val="en" w:eastAsia="it-IT"/>
        </w:rPr>
        <w:t>f</w:t>
      </w:r>
      <w:r w:rsidRPr="008B4692">
        <w:rPr>
          <w:rFonts w:ascii="Times New Roman" w:eastAsia="Times New Roman" w:hAnsi="Times New Roman" w:cs="Times New Roman"/>
          <w:sz w:val="24"/>
          <w:szCs w:val="24"/>
          <w:lang w:val="en" w:eastAsia="it-IT"/>
        </w:rPr>
        <w:t xml:space="preserve">rame” in the following) for small and medium enterprises based on </w:t>
      </w:r>
      <w:r w:rsidR="00F37BF6" w:rsidRPr="008B4692">
        <w:rPr>
          <w:rFonts w:ascii="Times New Roman" w:eastAsia="Times New Roman" w:hAnsi="Times New Roman" w:cs="Times New Roman"/>
          <w:sz w:val="24"/>
          <w:szCs w:val="24"/>
          <w:lang w:val="en" w:eastAsia="it-IT"/>
        </w:rPr>
        <w:t>AD</w:t>
      </w:r>
      <w:r w:rsidRPr="008B4692">
        <w:rPr>
          <w:rFonts w:ascii="Times New Roman" w:eastAsia="Times New Roman" w:hAnsi="Times New Roman" w:cs="Times New Roman"/>
          <w:sz w:val="24"/>
          <w:szCs w:val="24"/>
          <w:lang w:val="en" w:eastAsia="it-IT"/>
        </w:rPr>
        <w:t xml:space="preserve"> as primary sources of information, integrated with direct survey data to estimate information not available in </w:t>
      </w:r>
      <w:r w:rsidR="00F37BF6" w:rsidRPr="008B4692">
        <w:rPr>
          <w:rFonts w:ascii="Times New Roman" w:eastAsia="Times New Roman" w:hAnsi="Times New Roman" w:cs="Times New Roman"/>
          <w:sz w:val="24"/>
          <w:szCs w:val="24"/>
          <w:lang w:val="en" w:eastAsia="it-IT"/>
        </w:rPr>
        <w:t>AD</w:t>
      </w:r>
      <w:r w:rsidRPr="008B4692">
        <w:rPr>
          <w:rFonts w:ascii="Times New Roman" w:eastAsia="Times New Roman" w:hAnsi="Times New Roman" w:cs="Times New Roman"/>
          <w:sz w:val="24"/>
          <w:szCs w:val="24"/>
          <w:lang w:val="en" w:eastAsia="it-IT"/>
        </w:rPr>
        <w:t xml:space="preserve"> sources. </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lastRenderedPageBreak/>
        <w:t xml:space="preserve">Based on the </w:t>
      </w:r>
      <w:r w:rsidR="005B3EC3" w:rsidRPr="008B4692">
        <w:rPr>
          <w:rFonts w:ascii="Times New Roman" w:eastAsia="Times New Roman" w:hAnsi="Times New Roman" w:cs="Times New Roman"/>
          <w:sz w:val="24"/>
          <w:szCs w:val="24"/>
          <w:lang w:val="en" w:eastAsia="it-IT"/>
        </w:rPr>
        <w:t>f</w:t>
      </w:r>
      <w:r w:rsidRPr="008B4692">
        <w:rPr>
          <w:rFonts w:ascii="Times New Roman" w:eastAsia="Times New Roman" w:hAnsi="Times New Roman" w:cs="Times New Roman"/>
          <w:sz w:val="24"/>
          <w:szCs w:val="24"/>
          <w:lang w:val="en" w:eastAsia="it-IT"/>
        </w:rPr>
        <w:t>rame, starting from the 2011 reference year onwards, estimates for key SBS can be calculated at an extremely refined level of detail, overcoming some limitations of the current statistical production strategy, which is essentially based on direct surveys integrated with AD for the non-respondents. Improvements are expected in terms of efficiency, accuracy of cross-sectional estimates within and across statistical domains, coherence of estimates over time. The dissemination of larger, more detailed and better focused data to end users will be also facilitated</w:t>
      </w:r>
      <w:r w:rsidR="00F37BF6" w:rsidRPr="008B4692">
        <w:rPr>
          <w:rFonts w:ascii="Times New Roman" w:eastAsia="Times New Roman" w:hAnsi="Times New Roman" w:cs="Times New Roman"/>
          <w:sz w:val="24"/>
          <w:szCs w:val="24"/>
          <w:lang w:val="en" w:eastAsia="it-IT"/>
        </w:rPr>
        <w:t>: a</w:t>
      </w:r>
      <w:r w:rsidRPr="008B4692">
        <w:rPr>
          <w:rFonts w:ascii="Times New Roman" w:eastAsia="Times New Roman" w:hAnsi="Times New Roman" w:cs="Times New Roman"/>
          <w:sz w:val="24"/>
          <w:szCs w:val="24"/>
          <w:lang w:val="en" w:eastAsia="it-IT"/>
        </w:rPr>
        <w:t xml:space="preserve">ctually, the </w:t>
      </w:r>
      <w:r w:rsidR="00F37BF6" w:rsidRPr="008B4692">
        <w:rPr>
          <w:rFonts w:ascii="Times New Roman" w:eastAsia="Times New Roman" w:hAnsi="Times New Roman" w:cs="Times New Roman"/>
          <w:sz w:val="24"/>
          <w:szCs w:val="24"/>
          <w:lang w:val="en" w:eastAsia="it-IT"/>
        </w:rPr>
        <w:t xml:space="preserve">availability of </w:t>
      </w:r>
      <w:r w:rsidRPr="008B4692">
        <w:rPr>
          <w:rFonts w:ascii="Times New Roman" w:eastAsia="Times New Roman" w:hAnsi="Times New Roman" w:cs="Times New Roman"/>
          <w:sz w:val="24"/>
          <w:szCs w:val="24"/>
          <w:lang w:val="en" w:eastAsia="it-IT"/>
        </w:rPr>
        <w:t xml:space="preserve">micro-data </w:t>
      </w:r>
      <w:r w:rsidR="00F37BF6" w:rsidRPr="008B4692">
        <w:rPr>
          <w:rFonts w:ascii="Times New Roman" w:eastAsia="Times New Roman" w:hAnsi="Times New Roman" w:cs="Times New Roman"/>
          <w:sz w:val="24"/>
          <w:szCs w:val="24"/>
          <w:lang w:val="en" w:eastAsia="it-IT"/>
        </w:rPr>
        <w:t xml:space="preserve">values </w:t>
      </w:r>
      <w:r w:rsidRPr="008B4692">
        <w:rPr>
          <w:rFonts w:ascii="Times New Roman" w:eastAsia="Times New Roman" w:hAnsi="Times New Roman" w:cs="Times New Roman"/>
          <w:sz w:val="24"/>
          <w:szCs w:val="24"/>
          <w:lang w:val="en" w:eastAsia="it-IT"/>
        </w:rPr>
        <w:t>allows provid</w:t>
      </w:r>
      <w:r w:rsidR="00A35922" w:rsidRPr="008B4692">
        <w:rPr>
          <w:rFonts w:ascii="Times New Roman" w:eastAsia="Times New Roman" w:hAnsi="Times New Roman" w:cs="Times New Roman"/>
          <w:sz w:val="24"/>
          <w:szCs w:val="24"/>
          <w:lang w:val="en" w:eastAsia="it-IT"/>
        </w:rPr>
        <w:t>ing</w:t>
      </w:r>
      <w:r w:rsidRPr="008B4692">
        <w:rPr>
          <w:rFonts w:ascii="Times New Roman" w:eastAsia="Times New Roman" w:hAnsi="Times New Roman" w:cs="Times New Roman"/>
          <w:sz w:val="24"/>
          <w:szCs w:val="24"/>
          <w:lang w:val="en" w:eastAsia="it-IT"/>
        </w:rPr>
        <w:t xml:space="preserve"> coherent estimates at different level</w:t>
      </w:r>
      <w:r w:rsidR="00F37BF6" w:rsidRPr="008B4692">
        <w:rPr>
          <w:rFonts w:ascii="Times New Roman" w:eastAsia="Times New Roman" w:hAnsi="Times New Roman" w:cs="Times New Roman"/>
          <w:sz w:val="24"/>
          <w:szCs w:val="24"/>
          <w:lang w:val="en" w:eastAsia="it-IT"/>
        </w:rPr>
        <w:t>s</w:t>
      </w:r>
      <w:r w:rsidRPr="008B4692">
        <w:rPr>
          <w:rFonts w:ascii="Times New Roman" w:eastAsia="Times New Roman" w:hAnsi="Times New Roman" w:cs="Times New Roman"/>
          <w:sz w:val="24"/>
          <w:szCs w:val="24"/>
          <w:lang w:val="en" w:eastAsia="it-IT"/>
        </w:rPr>
        <w:t xml:space="preserve"> of aggregation, taking into account that these data are also used by National Accounts (NA).  </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This is result is in line with the requirements emerged at European level, </w:t>
      </w:r>
      <w:r w:rsidR="00414C28" w:rsidRPr="008B4692">
        <w:rPr>
          <w:rFonts w:ascii="Times New Roman" w:eastAsia="Times New Roman" w:hAnsi="Times New Roman" w:cs="Times New Roman"/>
          <w:sz w:val="24"/>
          <w:szCs w:val="24"/>
          <w:lang w:val="en" w:eastAsia="it-IT"/>
        </w:rPr>
        <w:t xml:space="preserve">where </w:t>
      </w:r>
      <w:r w:rsidRPr="008B4692">
        <w:rPr>
          <w:rFonts w:ascii="Times New Roman" w:eastAsia="Times New Roman" w:hAnsi="Times New Roman" w:cs="Times New Roman"/>
          <w:sz w:val="24"/>
          <w:szCs w:val="24"/>
          <w:lang w:val="en" w:eastAsia="it-IT"/>
        </w:rPr>
        <w:t xml:space="preserve">European </w:t>
      </w:r>
      <w:r w:rsidR="005B6893" w:rsidRPr="008B4692">
        <w:rPr>
          <w:rFonts w:ascii="Times New Roman" w:eastAsia="Times New Roman" w:hAnsi="Times New Roman" w:cs="Times New Roman"/>
          <w:sz w:val="24"/>
          <w:szCs w:val="24"/>
          <w:lang w:val="en" w:eastAsia="it-IT"/>
        </w:rPr>
        <w:t xml:space="preserve">projects </w:t>
      </w:r>
      <w:r w:rsidRPr="008B4692">
        <w:rPr>
          <w:rFonts w:ascii="Times New Roman" w:eastAsia="Times New Roman" w:hAnsi="Times New Roman" w:cs="Times New Roman"/>
          <w:sz w:val="24"/>
          <w:szCs w:val="24"/>
          <w:lang w:val="en" w:eastAsia="it-IT"/>
        </w:rPr>
        <w:t>like BLUE-ETS</w:t>
      </w:r>
      <w:r w:rsidR="00F37BF6" w:rsidRPr="008B4692">
        <w:rPr>
          <w:rFonts w:ascii="Times New Roman" w:eastAsia="Times New Roman" w:hAnsi="Times New Roman" w:cs="Times New Roman"/>
          <w:sz w:val="24"/>
          <w:szCs w:val="24"/>
          <w:lang w:val="en" w:eastAsia="it-IT"/>
        </w:rPr>
        <w:footnoteReference w:id="1"/>
      </w:r>
      <w:r w:rsidR="005B6893" w:rsidRPr="008B4692">
        <w:rPr>
          <w:rFonts w:ascii="Times New Roman" w:eastAsia="Times New Roman" w:hAnsi="Times New Roman" w:cs="Times New Roman"/>
          <w:sz w:val="24"/>
          <w:szCs w:val="24"/>
          <w:lang w:val="en" w:eastAsia="it-IT"/>
        </w:rPr>
        <w:t>,</w:t>
      </w:r>
      <w:r w:rsidR="00F37BF6" w:rsidRPr="008B4692">
        <w:rPr>
          <w:rFonts w:ascii="Times New Roman" w:eastAsia="Times New Roman" w:hAnsi="Times New Roman" w:cs="Times New Roman"/>
          <w:sz w:val="24"/>
          <w:szCs w:val="24"/>
          <w:lang w:val="en" w:eastAsia="it-IT"/>
        </w:rPr>
        <w:t xml:space="preserve"> the </w:t>
      </w:r>
      <w:proofErr w:type="spellStart"/>
      <w:r w:rsidR="00F37BF6" w:rsidRPr="008B4692">
        <w:rPr>
          <w:rFonts w:ascii="Times New Roman" w:eastAsia="Times New Roman" w:hAnsi="Times New Roman" w:cs="Times New Roman"/>
          <w:sz w:val="24"/>
          <w:szCs w:val="24"/>
          <w:lang w:val="en" w:eastAsia="it-IT"/>
        </w:rPr>
        <w:t>ESSnet</w:t>
      </w:r>
      <w:proofErr w:type="spellEnd"/>
      <w:r w:rsidR="00F37BF6" w:rsidRPr="008B4692">
        <w:rPr>
          <w:rFonts w:ascii="Times New Roman" w:eastAsia="Times New Roman" w:hAnsi="Times New Roman" w:cs="Times New Roman"/>
          <w:sz w:val="24"/>
          <w:szCs w:val="24"/>
          <w:lang w:val="en" w:eastAsia="it-IT"/>
        </w:rPr>
        <w:t xml:space="preserve"> Admin Data</w:t>
      </w:r>
      <w:r w:rsidR="00F37BF6" w:rsidRPr="008B4692">
        <w:rPr>
          <w:rFonts w:ascii="Times New Roman" w:eastAsia="Times New Roman" w:hAnsi="Times New Roman" w:cs="Times New Roman"/>
          <w:sz w:val="24"/>
          <w:szCs w:val="24"/>
          <w:lang w:val="en" w:eastAsia="it-IT"/>
        </w:rPr>
        <w:footnoteReference w:id="2"/>
      </w:r>
      <w:r w:rsidR="005B6893" w:rsidRPr="008B4692">
        <w:rPr>
          <w:rFonts w:ascii="Times New Roman" w:eastAsia="Times New Roman" w:hAnsi="Times New Roman" w:cs="Times New Roman"/>
          <w:sz w:val="24"/>
          <w:szCs w:val="24"/>
          <w:lang w:val="en" w:eastAsia="it-IT"/>
        </w:rPr>
        <w:t>,</w:t>
      </w:r>
      <w:r w:rsidRPr="008B4692">
        <w:rPr>
          <w:rFonts w:ascii="Times New Roman" w:eastAsia="Times New Roman" w:hAnsi="Times New Roman" w:cs="Times New Roman"/>
          <w:sz w:val="24"/>
          <w:szCs w:val="24"/>
          <w:lang w:val="en" w:eastAsia="it-IT"/>
        </w:rPr>
        <w:t xml:space="preserve"> </w:t>
      </w:r>
      <w:r w:rsidR="005B6893" w:rsidRPr="008B4692">
        <w:rPr>
          <w:rFonts w:ascii="Times New Roman" w:eastAsia="Times New Roman" w:hAnsi="Times New Roman" w:cs="Times New Roman"/>
          <w:sz w:val="24"/>
          <w:szCs w:val="24"/>
          <w:lang w:val="en" w:eastAsia="it-IT"/>
        </w:rPr>
        <w:t xml:space="preserve">the </w:t>
      </w:r>
      <w:proofErr w:type="spellStart"/>
      <w:r w:rsidR="005B6893" w:rsidRPr="008B4692">
        <w:rPr>
          <w:rFonts w:ascii="Times New Roman" w:eastAsia="Times New Roman" w:hAnsi="Times New Roman" w:cs="Times New Roman"/>
          <w:sz w:val="24"/>
          <w:szCs w:val="24"/>
          <w:lang w:val="en" w:eastAsia="it-IT"/>
        </w:rPr>
        <w:t>ESSnet</w:t>
      </w:r>
      <w:proofErr w:type="spellEnd"/>
      <w:r w:rsidR="005B6893" w:rsidRPr="008B4692">
        <w:rPr>
          <w:rFonts w:ascii="Times New Roman" w:eastAsia="Times New Roman" w:hAnsi="Times New Roman" w:cs="Times New Roman"/>
          <w:sz w:val="24"/>
          <w:szCs w:val="24"/>
          <w:lang w:val="en" w:eastAsia="it-IT"/>
        </w:rPr>
        <w:t xml:space="preserve"> on Data Integration</w:t>
      </w:r>
      <w:r w:rsidR="005B6893" w:rsidRPr="008B4692">
        <w:rPr>
          <w:rFonts w:ascii="Times New Roman" w:eastAsia="Times New Roman" w:hAnsi="Times New Roman" w:cs="Times New Roman"/>
          <w:sz w:val="24"/>
          <w:szCs w:val="24"/>
          <w:lang w:val="en" w:eastAsia="it-IT"/>
        </w:rPr>
        <w:footnoteReference w:id="3"/>
      </w:r>
      <w:r w:rsidR="005B6893" w:rsidRPr="008B4692">
        <w:rPr>
          <w:rFonts w:ascii="Times New Roman" w:eastAsia="Times New Roman" w:hAnsi="Times New Roman" w:cs="Times New Roman"/>
          <w:sz w:val="24"/>
          <w:szCs w:val="24"/>
          <w:lang w:val="en" w:eastAsia="it-IT"/>
        </w:rPr>
        <w:t xml:space="preserve"> </w:t>
      </w:r>
      <w:r w:rsidR="00414C28" w:rsidRPr="008B4692">
        <w:rPr>
          <w:rFonts w:ascii="Times New Roman" w:eastAsia="Times New Roman" w:hAnsi="Times New Roman" w:cs="Times New Roman"/>
          <w:sz w:val="24"/>
          <w:szCs w:val="24"/>
          <w:lang w:val="en" w:eastAsia="it-IT"/>
        </w:rPr>
        <w:t xml:space="preserve">have </w:t>
      </w:r>
      <w:r w:rsidRPr="008B4692">
        <w:rPr>
          <w:rFonts w:ascii="Times New Roman" w:eastAsia="Times New Roman" w:hAnsi="Times New Roman" w:cs="Times New Roman"/>
          <w:sz w:val="24"/>
          <w:szCs w:val="24"/>
          <w:lang w:val="en" w:eastAsia="it-IT"/>
        </w:rPr>
        <w:t xml:space="preserve">provided </w:t>
      </w:r>
      <w:r w:rsidR="005B6893" w:rsidRPr="008B4692">
        <w:rPr>
          <w:rFonts w:ascii="Times New Roman" w:eastAsia="Times New Roman" w:hAnsi="Times New Roman" w:cs="Times New Roman"/>
          <w:sz w:val="24"/>
          <w:szCs w:val="24"/>
          <w:lang w:val="en" w:eastAsia="it-IT"/>
        </w:rPr>
        <w:t xml:space="preserve">a methodological framework </w:t>
      </w:r>
      <w:r w:rsidRPr="008B4692">
        <w:rPr>
          <w:rFonts w:ascii="Times New Roman" w:eastAsia="Times New Roman" w:hAnsi="Times New Roman" w:cs="Times New Roman"/>
          <w:sz w:val="24"/>
          <w:szCs w:val="24"/>
          <w:lang w:val="en" w:eastAsia="it-IT"/>
        </w:rPr>
        <w:t>for quality evaluation and estimation when using AD</w:t>
      </w:r>
      <w:r w:rsidR="00B23C64" w:rsidRPr="008B4692">
        <w:rPr>
          <w:rFonts w:ascii="Times New Roman" w:eastAsia="Times New Roman" w:hAnsi="Times New Roman" w:cs="Times New Roman"/>
          <w:sz w:val="24"/>
          <w:szCs w:val="24"/>
          <w:lang w:val="en" w:eastAsia="it-IT"/>
        </w:rPr>
        <w:t xml:space="preserve"> </w:t>
      </w:r>
      <w:r w:rsidR="000B5279" w:rsidRPr="008B4692">
        <w:rPr>
          <w:rFonts w:ascii="Times New Roman" w:eastAsia="Times New Roman" w:hAnsi="Times New Roman" w:cs="Times New Roman"/>
          <w:sz w:val="24"/>
          <w:szCs w:val="24"/>
          <w:lang w:val="en" w:eastAsia="it-IT"/>
        </w:rPr>
        <w:t>in the area of economic statistics</w:t>
      </w:r>
      <w:r w:rsidR="00B23C64" w:rsidRPr="008B4692">
        <w:rPr>
          <w:rFonts w:ascii="Times New Roman" w:eastAsia="Times New Roman" w:hAnsi="Times New Roman" w:cs="Times New Roman"/>
          <w:sz w:val="24"/>
          <w:szCs w:val="24"/>
          <w:lang w:val="en" w:eastAsia="it-IT"/>
        </w:rPr>
        <w:t>. H</w:t>
      </w:r>
      <w:r w:rsidRPr="008B4692">
        <w:rPr>
          <w:rFonts w:ascii="Times New Roman" w:eastAsia="Times New Roman" w:hAnsi="Times New Roman" w:cs="Times New Roman"/>
          <w:sz w:val="24"/>
          <w:szCs w:val="24"/>
          <w:lang w:val="en" w:eastAsia="it-IT"/>
        </w:rPr>
        <w:t>igh levels of consistency, efficiency</w:t>
      </w:r>
      <w:r w:rsidR="00B23C64" w:rsidRPr="008B4692">
        <w:rPr>
          <w:rFonts w:ascii="Times New Roman" w:eastAsia="Times New Roman" w:hAnsi="Times New Roman" w:cs="Times New Roman"/>
          <w:sz w:val="24"/>
          <w:szCs w:val="24"/>
          <w:lang w:val="en" w:eastAsia="it-IT"/>
        </w:rPr>
        <w:t>,</w:t>
      </w:r>
      <w:r w:rsidRPr="008B4692">
        <w:rPr>
          <w:rFonts w:ascii="Times New Roman" w:eastAsia="Times New Roman" w:hAnsi="Times New Roman" w:cs="Times New Roman"/>
          <w:sz w:val="24"/>
          <w:szCs w:val="24"/>
          <w:lang w:val="en" w:eastAsia="it-IT"/>
        </w:rPr>
        <w:t xml:space="preserve"> </w:t>
      </w:r>
      <w:r w:rsidR="00414C28" w:rsidRPr="008B4692">
        <w:rPr>
          <w:rFonts w:ascii="Times New Roman" w:eastAsia="Times New Roman" w:hAnsi="Times New Roman" w:cs="Times New Roman"/>
          <w:sz w:val="24"/>
          <w:szCs w:val="24"/>
          <w:lang w:val="en" w:eastAsia="it-IT"/>
        </w:rPr>
        <w:t xml:space="preserve">information </w:t>
      </w:r>
      <w:r w:rsidRPr="008B4692">
        <w:rPr>
          <w:rFonts w:ascii="Times New Roman" w:eastAsia="Times New Roman" w:hAnsi="Times New Roman" w:cs="Times New Roman"/>
          <w:sz w:val="24"/>
          <w:szCs w:val="24"/>
          <w:lang w:val="en" w:eastAsia="it-IT"/>
        </w:rPr>
        <w:t xml:space="preserve">detail will be </w:t>
      </w:r>
      <w:r w:rsidR="00B23C64" w:rsidRPr="008B4692">
        <w:rPr>
          <w:rFonts w:ascii="Times New Roman" w:eastAsia="Times New Roman" w:hAnsi="Times New Roman" w:cs="Times New Roman"/>
          <w:sz w:val="24"/>
          <w:szCs w:val="24"/>
          <w:lang w:val="en" w:eastAsia="it-IT"/>
        </w:rPr>
        <w:t xml:space="preserve">also </w:t>
      </w:r>
      <w:r w:rsidRPr="008B4692">
        <w:rPr>
          <w:rFonts w:ascii="Times New Roman" w:eastAsia="Times New Roman" w:hAnsi="Times New Roman" w:cs="Times New Roman"/>
          <w:sz w:val="24"/>
          <w:szCs w:val="24"/>
          <w:lang w:val="en" w:eastAsia="it-IT"/>
        </w:rPr>
        <w:t>required by the new FRIBS (Framework Regulation In Business Statistics) to be achieved by 2015.</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This paper provides an overview of the solutions adopted for </w:t>
      </w:r>
      <w:r w:rsidR="00414C28" w:rsidRPr="008B4692">
        <w:rPr>
          <w:rFonts w:ascii="Times New Roman" w:eastAsia="Times New Roman" w:hAnsi="Times New Roman" w:cs="Times New Roman"/>
          <w:sz w:val="24"/>
          <w:szCs w:val="24"/>
          <w:lang w:val="en" w:eastAsia="it-IT"/>
        </w:rPr>
        <w:t xml:space="preserve">producing the </w:t>
      </w:r>
      <w:r w:rsidR="000B5279" w:rsidRPr="000B5279">
        <w:rPr>
          <w:rFonts w:ascii="Times New Roman" w:eastAsia="Times New Roman" w:hAnsi="Times New Roman" w:cs="Times New Roman"/>
          <w:i/>
          <w:sz w:val="24"/>
          <w:szCs w:val="24"/>
          <w:lang w:val="en" w:eastAsia="it-IT"/>
        </w:rPr>
        <w:t>f</w:t>
      </w:r>
      <w:r w:rsidR="00414C28" w:rsidRPr="000B5279">
        <w:rPr>
          <w:rFonts w:ascii="Times New Roman" w:eastAsia="Times New Roman" w:hAnsi="Times New Roman" w:cs="Times New Roman"/>
          <w:i/>
          <w:sz w:val="24"/>
          <w:szCs w:val="24"/>
          <w:lang w:val="en" w:eastAsia="it-IT"/>
        </w:rPr>
        <w:t>rame</w:t>
      </w:r>
      <w:r w:rsidRPr="008B4692">
        <w:rPr>
          <w:rFonts w:ascii="Times New Roman" w:eastAsia="Times New Roman" w:hAnsi="Times New Roman" w:cs="Times New Roman"/>
          <w:sz w:val="24"/>
          <w:szCs w:val="24"/>
          <w:lang w:val="en" w:eastAsia="it-IT"/>
        </w:rPr>
        <w:t xml:space="preserve">, with specific attention </w:t>
      </w:r>
      <w:r w:rsidR="002744CA" w:rsidRPr="008B4692">
        <w:rPr>
          <w:rFonts w:ascii="Times New Roman" w:eastAsia="Times New Roman" w:hAnsi="Times New Roman" w:cs="Times New Roman"/>
          <w:sz w:val="24"/>
          <w:szCs w:val="24"/>
          <w:lang w:val="en" w:eastAsia="it-IT"/>
        </w:rPr>
        <w:t xml:space="preserve">to </w:t>
      </w:r>
      <w:r w:rsidR="00414C28" w:rsidRPr="008B4692">
        <w:rPr>
          <w:rFonts w:ascii="Times New Roman" w:eastAsia="Times New Roman" w:hAnsi="Times New Roman" w:cs="Times New Roman"/>
          <w:sz w:val="24"/>
          <w:szCs w:val="24"/>
          <w:lang w:val="en" w:eastAsia="it-IT"/>
        </w:rPr>
        <w:t xml:space="preserve">concepts and definitions </w:t>
      </w:r>
      <w:r w:rsidR="002744CA" w:rsidRPr="008B4692">
        <w:rPr>
          <w:rFonts w:ascii="Times New Roman" w:eastAsia="Times New Roman" w:hAnsi="Times New Roman" w:cs="Times New Roman"/>
          <w:sz w:val="24"/>
          <w:szCs w:val="24"/>
          <w:lang w:val="en" w:eastAsia="it-IT"/>
        </w:rPr>
        <w:t xml:space="preserve">harmonization, </w:t>
      </w:r>
      <w:r w:rsidR="00414C28" w:rsidRPr="008B4692">
        <w:rPr>
          <w:rFonts w:ascii="Times New Roman" w:eastAsia="Times New Roman" w:hAnsi="Times New Roman" w:cs="Times New Roman"/>
          <w:sz w:val="24"/>
          <w:szCs w:val="24"/>
          <w:lang w:val="en" w:eastAsia="it-IT"/>
        </w:rPr>
        <w:t xml:space="preserve">to the </w:t>
      </w:r>
      <w:r w:rsidR="002744CA" w:rsidRPr="008B4692">
        <w:rPr>
          <w:rFonts w:ascii="Times New Roman" w:eastAsia="Times New Roman" w:hAnsi="Times New Roman" w:cs="Times New Roman"/>
          <w:sz w:val="24"/>
          <w:szCs w:val="24"/>
          <w:lang w:val="en" w:eastAsia="it-IT"/>
        </w:rPr>
        <w:t>assess</w:t>
      </w:r>
      <w:r w:rsidR="00414C28" w:rsidRPr="008B4692">
        <w:rPr>
          <w:rFonts w:ascii="Times New Roman" w:eastAsia="Times New Roman" w:hAnsi="Times New Roman" w:cs="Times New Roman"/>
          <w:sz w:val="24"/>
          <w:szCs w:val="24"/>
          <w:lang w:val="en" w:eastAsia="it-IT"/>
        </w:rPr>
        <w:t xml:space="preserve">ment of </w:t>
      </w:r>
      <w:r w:rsidR="002744CA" w:rsidRPr="008B4692">
        <w:rPr>
          <w:rFonts w:ascii="Times New Roman" w:eastAsia="Times New Roman" w:hAnsi="Times New Roman" w:cs="Times New Roman"/>
          <w:sz w:val="24"/>
          <w:szCs w:val="24"/>
          <w:lang w:val="en" w:eastAsia="it-IT"/>
        </w:rPr>
        <w:t xml:space="preserve">quality and usability of AD </w:t>
      </w:r>
      <w:r w:rsidR="00414C28" w:rsidRPr="008B4692">
        <w:rPr>
          <w:rFonts w:ascii="Times New Roman" w:eastAsia="Times New Roman" w:hAnsi="Times New Roman" w:cs="Times New Roman"/>
          <w:sz w:val="24"/>
          <w:szCs w:val="24"/>
          <w:lang w:val="en" w:eastAsia="it-IT"/>
        </w:rPr>
        <w:t xml:space="preserve">w.r.t. </w:t>
      </w:r>
      <w:r w:rsidR="002744CA" w:rsidRPr="008B4692">
        <w:rPr>
          <w:rFonts w:ascii="Times New Roman" w:eastAsia="Times New Roman" w:hAnsi="Times New Roman" w:cs="Times New Roman"/>
          <w:sz w:val="24"/>
          <w:szCs w:val="24"/>
          <w:lang w:val="en" w:eastAsia="it-IT"/>
        </w:rPr>
        <w:t xml:space="preserve">the </w:t>
      </w:r>
      <w:r w:rsidRPr="008B4692">
        <w:rPr>
          <w:rFonts w:ascii="Times New Roman" w:eastAsia="Times New Roman" w:hAnsi="Times New Roman" w:cs="Times New Roman"/>
          <w:sz w:val="24"/>
          <w:szCs w:val="24"/>
          <w:lang w:val="en" w:eastAsia="it-IT"/>
        </w:rPr>
        <w:t>SBS estimation purposes, to the estimation strategy</w:t>
      </w:r>
      <w:r w:rsidR="002744CA" w:rsidRPr="008B4692">
        <w:rPr>
          <w:rFonts w:ascii="Times New Roman" w:eastAsia="Times New Roman" w:hAnsi="Times New Roman" w:cs="Times New Roman"/>
          <w:sz w:val="24"/>
          <w:szCs w:val="24"/>
          <w:lang w:val="en" w:eastAsia="it-IT"/>
        </w:rPr>
        <w:t xml:space="preserve"> (see for example </w:t>
      </w:r>
      <w:r w:rsidR="005B3EC3" w:rsidRPr="008B4692">
        <w:rPr>
          <w:rFonts w:ascii="Times New Roman" w:eastAsia="Times New Roman" w:hAnsi="Times New Roman" w:cs="Times New Roman"/>
          <w:sz w:val="24"/>
          <w:szCs w:val="24"/>
          <w:lang w:val="en" w:eastAsia="it-IT"/>
        </w:rPr>
        <w:t>[8] and [9]</w:t>
      </w:r>
      <w:r w:rsidR="002744CA" w:rsidRPr="008B4692">
        <w:rPr>
          <w:rFonts w:ascii="Times New Roman" w:eastAsia="Times New Roman" w:hAnsi="Times New Roman" w:cs="Times New Roman"/>
          <w:sz w:val="24"/>
          <w:szCs w:val="24"/>
          <w:lang w:val="en" w:eastAsia="it-IT"/>
        </w:rPr>
        <w:t xml:space="preserve"> for a general discussion of these issues)</w:t>
      </w:r>
      <w:r w:rsidRPr="008B4692">
        <w:rPr>
          <w:rFonts w:ascii="Times New Roman" w:eastAsia="Times New Roman" w:hAnsi="Times New Roman" w:cs="Times New Roman"/>
          <w:sz w:val="24"/>
          <w:szCs w:val="24"/>
          <w:lang w:val="en" w:eastAsia="it-IT"/>
        </w:rPr>
        <w:t xml:space="preserve">. </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The paper is structured as follows. Section 1 illustrates the preliminary data validation and harmonization of the </w:t>
      </w:r>
      <w:r w:rsidR="000B5279" w:rsidRPr="008B4692">
        <w:rPr>
          <w:rFonts w:ascii="Times New Roman" w:eastAsia="Times New Roman" w:hAnsi="Times New Roman" w:cs="Times New Roman"/>
          <w:sz w:val="24"/>
          <w:szCs w:val="24"/>
          <w:lang w:val="en" w:eastAsia="it-IT"/>
        </w:rPr>
        <w:t>sources</w:t>
      </w:r>
      <w:r w:rsidR="000B5279">
        <w:rPr>
          <w:rFonts w:ascii="Times New Roman" w:eastAsia="Times New Roman" w:hAnsi="Times New Roman" w:cs="Times New Roman"/>
          <w:sz w:val="24"/>
          <w:szCs w:val="24"/>
          <w:lang w:val="en" w:eastAsia="it-IT"/>
        </w:rPr>
        <w:t>’</w:t>
      </w:r>
      <w:r w:rsidR="000B5279" w:rsidRPr="008B4692">
        <w:rPr>
          <w:rFonts w:ascii="Times New Roman" w:eastAsia="Times New Roman" w:hAnsi="Times New Roman" w:cs="Times New Roman"/>
          <w:sz w:val="24"/>
          <w:szCs w:val="24"/>
          <w:lang w:val="en" w:eastAsia="it-IT"/>
        </w:rPr>
        <w:t xml:space="preserve"> </w:t>
      </w:r>
      <w:r w:rsidRPr="008B4692">
        <w:rPr>
          <w:rFonts w:ascii="Times New Roman" w:eastAsia="Times New Roman" w:hAnsi="Times New Roman" w:cs="Times New Roman"/>
          <w:sz w:val="24"/>
          <w:szCs w:val="24"/>
          <w:lang w:val="en" w:eastAsia="it-IT"/>
        </w:rPr>
        <w:t xml:space="preserve">information contents Section 2 contains an overview of the </w:t>
      </w:r>
      <w:r w:rsidR="000B5279">
        <w:rPr>
          <w:rFonts w:ascii="Times New Roman" w:eastAsia="Times New Roman" w:hAnsi="Times New Roman" w:cs="Times New Roman"/>
          <w:sz w:val="24"/>
          <w:szCs w:val="24"/>
          <w:lang w:val="en" w:eastAsia="it-IT"/>
        </w:rPr>
        <w:t>activities</w:t>
      </w:r>
      <w:r w:rsidRPr="008B4692">
        <w:rPr>
          <w:rFonts w:ascii="Times New Roman" w:eastAsia="Times New Roman" w:hAnsi="Times New Roman" w:cs="Times New Roman"/>
          <w:sz w:val="24"/>
          <w:szCs w:val="24"/>
          <w:lang w:val="en" w:eastAsia="it-IT"/>
        </w:rPr>
        <w:t xml:space="preserve"> carried out to ensure the </w:t>
      </w:r>
      <w:r w:rsidR="000B5279">
        <w:rPr>
          <w:rFonts w:ascii="Times New Roman" w:eastAsia="Times New Roman" w:hAnsi="Times New Roman" w:cs="Times New Roman"/>
          <w:sz w:val="24"/>
          <w:szCs w:val="24"/>
          <w:lang w:val="en" w:eastAsia="it-IT"/>
        </w:rPr>
        <w:t>usability</w:t>
      </w:r>
      <w:r w:rsidRPr="008B4692">
        <w:rPr>
          <w:rFonts w:ascii="Times New Roman" w:eastAsia="Times New Roman" w:hAnsi="Times New Roman" w:cs="Times New Roman"/>
          <w:sz w:val="24"/>
          <w:szCs w:val="24"/>
          <w:lang w:val="en" w:eastAsia="it-IT"/>
        </w:rPr>
        <w:t xml:space="preserve"> of the AD sources</w:t>
      </w:r>
      <w:r w:rsidR="000B5279">
        <w:rPr>
          <w:rFonts w:ascii="Times New Roman" w:eastAsia="Times New Roman" w:hAnsi="Times New Roman" w:cs="Times New Roman"/>
          <w:sz w:val="24"/>
          <w:szCs w:val="24"/>
          <w:lang w:val="en" w:eastAsia="it-IT"/>
        </w:rPr>
        <w:t>, while</w:t>
      </w:r>
      <w:r w:rsidR="000E3338" w:rsidRPr="008B4692">
        <w:rPr>
          <w:rFonts w:ascii="Times New Roman" w:eastAsia="Times New Roman" w:hAnsi="Times New Roman" w:cs="Times New Roman"/>
          <w:sz w:val="24"/>
          <w:szCs w:val="24"/>
          <w:lang w:val="en" w:eastAsia="it-IT"/>
        </w:rPr>
        <w:t xml:space="preserve"> </w:t>
      </w:r>
      <w:r w:rsidR="000B5279">
        <w:rPr>
          <w:rFonts w:ascii="Times New Roman" w:eastAsia="Times New Roman" w:hAnsi="Times New Roman" w:cs="Times New Roman"/>
          <w:sz w:val="24"/>
          <w:szCs w:val="24"/>
          <w:lang w:val="en" w:eastAsia="it-IT"/>
        </w:rPr>
        <w:t xml:space="preserve">in </w:t>
      </w:r>
      <w:r w:rsidR="000E3338" w:rsidRPr="008B4692">
        <w:rPr>
          <w:rFonts w:ascii="Times New Roman" w:eastAsia="Times New Roman" w:hAnsi="Times New Roman" w:cs="Times New Roman"/>
          <w:sz w:val="24"/>
          <w:szCs w:val="24"/>
          <w:lang w:val="en" w:eastAsia="it-IT"/>
        </w:rPr>
        <w:t xml:space="preserve">Section 3 the </w:t>
      </w:r>
      <w:r w:rsidR="000B5279" w:rsidRPr="008B4692">
        <w:rPr>
          <w:rFonts w:ascii="Times New Roman" w:eastAsia="Times New Roman" w:hAnsi="Times New Roman" w:cs="Times New Roman"/>
          <w:sz w:val="24"/>
          <w:szCs w:val="24"/>
          <w:lang w:val="en" w:eastAsia="it-IT"/>
        </w:rPr>
        <w:t xml:space="preserve">quality evaluation </w:t>
      </w:r>
      <w:r w:rsidR="000E3338" w:rsidRPr="008B4692">
        <w:rPr>
          <w:rFonts w:ascii="Times New Roman" w:eastAsia="Times New Roman" w:hAnsi="Times New Roman" w:cs="Times New Roman"/>
          <w:sz w:val="24"/>
          <w:szCs w:val="24"/>
          <w:lang w:val="en" w:eastAsia="it-IT"/>
        </w:rPr>
        <w:t xml:space="preserve">strategy adopted </w:t>
      </w:r>
      <w:r w:rsidR="000B5279">
        <w:rPr>
          <w:rFonts w:ascii="Times New Roman" w:eastAsia="Times New Roman" w:hAnsi="Times New Roman" w:cs="Times New Roman"/>
          <w:sz w:val="24"/>
          <w:szCs w:val="24"/>
          <w:lang w:val="en" w:eastAsia="it-IT"/>
        </w:rPr>
        <w:t xml:space="preserve">to ensure the statistical usability </w:t>
      </w:r>
      <w:r w:rsidR="000E3338" w:rsidRPr="008B4692">
        <w:rPr>
          <w:rFonts w:ascii="Times New Roman" w:eastAsia="Times New Roman" w:hAnsi="Times New Roman" w:cs="Times New Roman"/>
          <w:sz w:val="24"/>
          <w:szCs w:val="24"/>
          <w:lang w:val="en" w:eastAsia="it-IT"/>
        </w:rPr>
        <w:t xml:space="preserve">of the sources is illustrated. </w:t>
      </w:r>
      <w:r w:rsidRPr="008B4692">
        <w:rPr>
          <w:rFonts w:ascii="Times New Roman" w:eastAsia="Times New Roman" w:hAnsi="Times New Roman" w:cs="Times New Roman"/>
          <w:sz w:val="24"/>
          <w:szCs w:val="24"/>
          <w:lang w:val="en" w:eastAsia="it-IT"/>
        </w:rPr>
        <w:t xml:space="preserve">In Section </w:t>
      </w:r>
      <w:r w:rsidR="000E3338" w:rsidRPr="008B4692">
        <w:rPr>
          <w:rFonts w:ascii="Times New Roman" w:eastAsia="Times New Roman" w:hAnsi="Times New Roman" w:cs="Times New Roman"/>
          <w:sz w:val="24"/>
          <w:szCs w:val="24"/>
          <w:lang w:val="en" w:eastAsia="it-IT"/>
        </w:rPr>
        <w:t>4</w:t>
      </w:r>
      <w:r w:rsidRPr="008B4692">
        <w:rPr>
          <w:rFonts w:ascii="Times New Roman" w:eastAsia="Times New Roman" w:hAnsi="Times New Roman" w:cs="Times New Roman"/>
          <w:sz w:val="24"/>
          <w:szCs w:val="24"/>
          <w:lang w:val="en" w:eastAsia="it-IT"/>
        </w:rPr>
        <w:t xml:space="preserve"> the estimation strategy is described</w:t>
      </w:r>
      <w:r w:rsidR="000B5279">
        <w:rPr>
          <w:rFonts w:ascii="Times New Roman" w:eastAsia="Times New Roman" w:hAnsi="Times New Roman" w:cs="Times New Roman"/>
          <w:sz w:val="24"/>
          <w:szCs w:val="24"/>
          <w:lang w:val="en" w:eastAsia="it-IT"/>
        </w:rPr>
        <w:t>.</w:t>
      </w:r>
      <w:r w:rsidRPr="008B4692">
        <w:rPr>
          <w:rFonts w:ascii="Times New Roman" w:eastAsia="Times New Roman" w:hAnsi="Times New Roman" w:cs="Times New Roman"/>
          <w:sz w:val="24"/>
          <w:szCs w:val="24"/>
          <w:lang w:val="en" w:eastAsia="it-IT"/>
        </w:rPr>
        <w:t xml:space="preserve"> Section </w:t>
      </w:r>
      <w:r w:rsidR="000E3338" w:rsidRPr="008B4692">
        <w:rPr>
          <w:rFonts w:ascii="Times New Roman" w:eastAsia="Times New Roman" w:hAnsi="Times New Roman" w:cs="Times New Roman"/>
          <w:sz w:val="24"/>
          <w:szCs w:val="24"/>
          <w:lang w:val="en" w:eastAsia="it-IT"/>
        </w:rPr>
        <w:t>5</w:t>
      </w:r>
      <w:r w:rsidRPr="008B4692">
        <w:rPr>
          <w:rFonts w:ascii="Times New Roman" w:eastAsia="Times New Roman" w:hAnsi="Times New Roman" w:cs="Times New Roman"/>
          <w:sz w:val="24"/>
          <w:szCs w:val="24"/>
          <w:lang w:val="en" w:eastAsia="it-IT"/>
        </w:rPr>
        <w:t xml:space="preserve"> contains</w:t>
      </w:r>
      <w:r w:rsidR="006B59D0">
        <w:rPr>
          <w:rFonts w:ascii="Times New Roman" w:eastAsia="Times New Roman" w:hAnsi="Times New Roman" w:cs="Times New Roman"/>
          <w:sz w:val="24"/>
          <w:szCs w:val="24"/>
          <w:lang w:val="en" w:eastAsia="it-IT"/>
        </w:rPr>
        <w:t xml:space="preserve"> some </w:t>
      </w:r>
      <w:r w:rsidR="000B5279">
        <w:rPr>
          <w:rFonts w:ascii="Times New Roman" w:eastAsia="Times New Roman" w:hAnsi="Times New Roman" w:cs="Times New Roman"/>
          <w:sz w:val="24"/>
          <w:szCs w:val="24"/>
          <w:lang w:val="en" w:eastAsia="it-IT"/>
        </w:rPr>
        <w:t>concluding remarks</w:t>
      </w:r>
      <w:r w:rsidR="006B59D0">
        <w:rPr>
          <w:rFonts w:ascii="Times New Roman" w:eastAsia="Times New Roman" w:hAnsi="Times New Roman" w:cs="Times New Roman"/>
          <w:sz w:val="24"/>
          <w:szCs w:val="24"/>
          <w:lang w:val="en" w:eastAsia="it-IT"/>
        </w:rPr>
        <w:t>.</w:t>
      </w:r>
    </w:p>
    <w:p w:rsidR="003E694C" w:rsidRDefault="003E694C" w:rsidP="003E694C">
      <w:pPr>
        <w:pStyle w:val="Default"/>
        <w:jc w:val="both"/>
        <w:rPr>
          <w:sz w:val="22"/>
          <w:szCs w:val="22"/>
          <w:lang w:val="en-US"/>
        </w:rPr>
      </w:pPr>
    </w:p>
    <w:p w:rsidR="003E694C" w:rsidRPr="008D71FF" w:rsidRDefault="003E694C" w:rsidP="008D71FF">
      <w:pPr>
        <w:numPr>
          <w:ilvl w:val="0"/>
          <w:numId w:val="7"/>
        </w:numPr>
        <w:shd w:val="clear" w:color="auto" w:fill="FFFFFF"/>
        <w:spacing w:before="240" w:after="120" w:line="360" w:lineRule="auto"/>
        <w:ind w:left="0" w:firstLine="0"/>
        <w:rPr>
          <w:rFonts w:ascii="Times New Roman" w:eastAsia="Times New Roman" w:hAnsi="Times New Roman" w:cs="Times New Roman"/>
          <w:b/>
          <w:sz w:val="24"/>
          <w:szCs w:val="24"/>
          <w:lang w:val="en" w:eastAsia="it-IT"/>
        </w:rPr>
      </w:pPr>
      <w:r w:rsidRPr="008D71FF">
        <w:rPr>
          <w:rFonts w:ascii="Times New Roman" w:eastAsia="Times New Roman" w:hAnsi="Times New Roman" w:cs="Times New Roman"/>
          <w:b/>
          <w:sz w:val="24"/>
          <w:szCs w:val="24"/>
          <w:lang w:val="en" w:eastAsia="it-IT"/>
        </w:rPr>
        <w:t xml:space="preserve">The sources and the preliminary data treatment </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Currently, SBS on SMEs (enterprises with </w:t>
      </w:r>
      <w:r w:rsidR="00EE5B3F" w:rsidRPr="008B4692">
        <w:rPr>
          <w:rFonts w:ascii="Times New Roman" w:eastAsia="Times New Roman" w:hAnsi="Times New Roman" w:cs="Times New Roman"/>
          <w:sz w:val="24"/>
          <w:szCs w:val="24"/>
          <w:lang w:val="en" w:eastAsia="it-IT"/>
        </w:rPr>
        <w:t xml:space="preserve">less than 99 </w:t>
      </w:r>
      <w:r w:rsidRPr="008B4692">
        <w:rPr>
          <w:rFonts w:ascii="Times New Roman" w:eastAsia="Times New Roman" w:hAnsi="Times New Roman" w:cs="Times New Roman"/>
          <w:sz w:val="24"/>
          <w:szCs w:val="24"/>
          <w:lang w:val="en" w:eastAsia="it-IT"/>
        </w:rPr>
        <w:t>persons employed, about 4.</w:t>
      </w:r>
      <w:r w:rsidR="00414C28" w:rsidRPr="008B4692">
        <w:rPr>
          <w:rFonts w:ascii="Times New Roman" w:eastAsia="Times New Roman" w:hAnsi="Times New Roman" w:cs="Times New Roman"/>
          <w:sz w:val="24"/>
          <w:szCs w:val="24"/>
          <w:lang w:val="en" w:eastAsia="it-IT"/>
        </w:rPr>
        <w:t>4</w:t>
      </w:r>
      <w:r w:rsidRPr="008B4692">
        <w:rPr>
          <w:rFonts w:ascii="Times New Roman" w:eastAsia="Times New Roman" w:hAnsi="Times New Roman" w:cs="Times New Roman"/>
          <w:sz w:val="24"/>
          <w:szCs w:val="24"/>
          <w:lang w:val="en" w:eastAsia="it-IT"/>
        </w:rPr>
        <w:t xml:space="preserve"> million of units) are obtained based on an annual sampling survey which collects information on profit and loss accounts, as well as on employment, investments etc. on about 100,000 enterprises in the industrial, construction, trade and non-financial services sectors. A large number of secondary variables are also estimated, also for NA estimation purposes.</w:t>
      </w:r>
      <w:r w:rsidR="00790792" w:rsidRPr="008B4692">
        <w:rPr>
          <w:rFonts w:ascii="Times New Roman" w:eastAsia="Times New Roman" w:hAnsi="Times New Roman" w:cs="Times New Roman"/>
          <w:sz w:val="24"/>
          <w:szCs w:val="24"/>
          <w:lang w:val="en" w:eastAsia="it-IT"/>
        </w:rPr>
        <w:t xml:space="preserve"> </w:t>
      </w:r>
      <w:r w:rsidRPr="008B4692">
        <w:rPr>
          <w:rFonts w:ascii="Times New Roman" w:eastAsia="Times New Roman" w:hAnsi="Times New Roman" w:cs="Times New Roman"/>
          <w:sz w:val="24"/>
          <w:szCs w:val="24"/>
          <w:lang w:val="en" w:eastAsia="it-IT"/>
        </w:rPr>
        <w:t xml:space="preserve">The target population is identified based on the Italian Business Register (hereafter BR), counting about 4.5 million enterprises. </w:t>
      </w:r>
      <w:r w:rsidRPr="008B4692">
        <w:rPr>
          <w:rFonts w:ascii="Times New Roman" w:eastAsia="Times New Roman" w:hAnsi="Times New Roman" w:cs="Times New Roman"/>
          <w:sz w:val="24"/>
          <w:szCs w:val="24"/>
          <w:lang w:val="en" w:eastAsia="it-IT"/>
        </w:rPr>
        <w:lastRenderedPageBreak/>
        <w:t>Recently, a new version of the BR has been produced, where information on enterprises has been extended with particular reference to structural variables on employment.</w:t>
      </w:r>
      <w:r w:rsidR="00EE5B3F" w:rsidRPr="008B4692">
        <w:rPr>
          <w:rFonts w:ascii="Times New Roman" w:eastAsia="Times New Roman" w:hAnsi="Times New Roman" w:cs="Times New Roman"/>
          <w:sz w:val="24"/>
          <w:szCs w:val="24"/>
          <w:lang w:val="en" w:eastAsia="it-IT"/>
        </w:rPr>
        <w:t xml:space="preserve"> </w:t>
      </w:r>
      <w:r w:rsidRPr="008B4692">
        <w:rPr>
          <w:rFonts w:ascii="Times New Roman" w:eastAsia="Times New Roman" w:hAnsi="Times New Roman" w:cs="Times New Roman"/>
          <w:sz w:val="24"/>
          <w:szCs w:val="24"/>
          <w:lang w:val="en" w:eastAsia="it-IT"/>
        </w:rPr>
        <w:t>Very detailed estimation domains are required from the SBS Regulations</w:t>
      </w:r>
      <w:r w:rsidR="00D80D77" w:rsidRPr="008B4692">
        <w:rPr>
          <w:rFonts w:ascii="Times New Roman" w:eastAsia="Times New Roman" w:hAnsi="Times New Roman" w:cs="Times New Roman"/>
          <w:sz w:val="24"/>
          <w:szCs w:val="24"/>
          <w:lang w:val="en" w:eastAsia="it-IT"/>
        </w:rPr>
        <w:footnoteReference w:id="4"/>
      </w:r>
      <w:r w:rsidRPr="008B4692">
        <w:rPr>
          <w:rFonts w:ascii="Times New Roman" w:eastAsia="Times New Roman" w:hAnsi="Times New Roman" w:cs="Times New Roman"/>
          <w:sz w:val="24"/>
          <w:szCs w:val="24"/>
          <w:lang w:val="en" w:eastAsia="it-IT"/>
        </w:rPr>
        <w:t xml:space="preserve">. The survey response rate is generally close to 40% (varying according to size classes and economic activity sectors) in terms of reliable replies. </w:t>
      </w:r>
    </w:p>
    <w:p w:rsidR="003E694C" w:rsidRPr="008B4692" w:rsidRDefault="00EE5B3F"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At the same time</w:t>
      </w:r>
      <w:r w:rsidR="003E694C" w:rsidRPr="008B4692">
        <w:rPr>
          <w:rFonts w:ascii="Times New Roman" w:eastAsia="Times New Roman" w:hAnsi="Times New Roman" w:cs="Times New Roman"/>
          <w:sz w:val="24"/>
          <w:szCs w:val="24"/>
          <w:lang w:val="en" w:eastAsia="it-IT"/>
        </w:rPr>
        <w:t xml:space="preserve">, </w:t>
      </w:r>
      <w:proofErr w:type="spellStart"/>
      <w:r w:rsidR="003E694C" w:rsidRPr="008B4692">
        <w:rPr>
          <w:rFonts w:ascii="Times New Roman" w:eastAsia="Times New Roman" w:hAnsi="Times New Roman" w:cs="Times New Roman"/>
          <w:sz w:val="24"/>
          <w:szCs w:val="24"/>
          <w:lang w:val="en" w:eastAsia="it-IT"/>
        </w:rPr>
        <w:t>Istat</w:t>
      </w:r>
      <w:proofErr w:type="spellEnd"/>
      <w:r w:rsidR="003E694C" w:rsidRPr="008B4692">
        <w:rPr>
          <w:rFonts w:ascii="Times New Roman" w:eastAsia="Times New Roman" w:hAnsi="Times New Roman" w:cs="Times New Roman"/>
          <w:sz w:val="24"/>
          <w:szCs w:val="24"/>
          <w:lang w:val="en" w:eastAsia="it-IT"/>
        </w:rPr>
        <w:t xml:space="preserve"> annually gets a number of AD sources containing information on </w:t>
      </w:r>
      <w:r w:rsidRPr="008B4692">
        <w:rPr>
          <w:rFonts w:ascii="Times New Roman" w:eastAsia="Times New Roman" w:hAnsi="Times New Roman" w:cs="Times New Roman"/>
          <w:sz w:val="24"/>
          <w:szCs w:val="24"/>
          <w:lang w:val="en" w:eastAsia="it-IT"/>
        </w:rPr>
        <w:t xml:space="preserve">enterprises’ </w:t>
      </w:r>
      <w:r w:rsidR="003E694C" w:rsidRPr="008B4692">
        <w:rPr>
          <w:rFonts w:ascii="Times New Roman" w:eastAsia="Times New Roman" w:hAnsi="Times New Roman" w:cs="Times New Roman"/>
          <w:sz w:val="24"/>
          <w:szCs w:val="24"/>
          <w:lang w:val="en" w:eastAsia="it-IT"/>
        </w:rPr>
        <w:t>profit and loss accounts. They have different degrees of coverage of the SME</w:t>
      </w:r>
      <w:r w:rsidRPr="008B4692">
        <w:rPr>
          <w:rFonts w:ascii="Times New Roman" w:eastAsia="Times New Roman" w:hAnsi="Times New Roman" w:cs="Times New Roman"/>
          <w:sz w:val="24"/>
          <w:szCs w:val="24"/>
          <w:lang w:val="en" w:eastAsia="it-IT"/>
        </w:rPr>
        <w:t>s</w:t>
      </w:r>
      <w:r w:rsidR="003E694C" w:rsidRPr="008B4692">
        <w:rPr>
          <w:rFonts w:ascii="Times New Roman" w:eastAsia="Times New Roman" w:hAnsi="Times New Roman" w:cs="Times New Roman"/>
          <w:sz w:val="24"/>
          <w:szCs w:val="24"/>
          <w:lang w:val="en" w:eastAsia="it-IT"/>
        </w:rPr>
        <w:t xml:space="preserve"> population and different characteristics concerning variables: </w:t>
      </w:r>
    </w:p>
    <w:p w:rsidR="003E694C"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the Financial Statements (hereafter FS), </w:t>
      </w:r>
      <w:r w:rsidR="00EE5B3F" w:rsidRPr="008B4692">
        <w:rPr>
          <w:rFonts w:ascii="Times New Roman" w:eastAsia="Times New Roman" w:hAnsi="Times New Roman" w:cs="Times New Roman"/>
          <w:sz w:val="24"/>
          <w:szCs w:val="24"/>
          <w:lang w:val="en" w:eastAsia="it-IT"/>
        </w:rPr>
        <w:t xml:space="preserve">from the Chamber of Commerce, </w:t>
      </w:r>
      <w:r w:rsidRPr="008B4692">
        <w:rPr>
          <w:rFonts w:ascii="Times New Roman" w:eastAsia="Times New Roman" w:hAnsi="Times New Roman" w:cs="Times New Roman"/>
          <w:sz w:val="24"/>
          <w:szCs w:val="24"/>
          <w:lang w:val="en" w:eastAsia="it-IT"/>
        </w:rPr>
        <w:t xml:space="preserve">which annually </w:t>
      </w:r>
      <w:r w:rsidR="00EE5B3F" w:rsidRPr="008B4692">
        <w:rPr>
          <w:rFonts w:ascii="Times New Roman" w:eastAsia="Times New Roman" w:hAnsi="Times New Roman" w:cs="Times New Roman"/>
          <w:sz w:val="24"/>
          <w:szCs w:val="24"/>
          <w:lang w:val="en" w:eastAsia="it-IT"/>
        </w:rPr>
        <w:t xml:space="preserve">provides </w:t>
      </w:r>
      <w:r w:rsidRPr="008B4692">
        <w:rPr>
          <w:rFonts w:ascii="Times New Roman" w:eastAsia="Times New Roman" w:hAnsi="Times New Roman" w:cs="Times New Roman"/>
          <w:sz w:val="24"/>
          <w:szCs w:val="24"/>
          <w:lang w:val="en" w:eastAsia="it-IT"/>
        </w:rPr>
        <w:t>profit and loss statements of limited liability companies (about 750,000 units);</w:t>
      </w:r>
    </w:p>
    <w:p w:rsidR="003E694C"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the Sector Studies survey (hereafter SS), which is a fiscal survey includ</w:t>
      </w:r>
      <w:r w:rsidR="008766A2" w:rsidRPr="008B4692">
        <w:rPr>
          <w:rFonts w:ascii="Times New Roman" w:eastAsia="Times New Roman" w:hAnsi="Times New Roman" w:cs="Times New Roman"/>
          <w:sz w:val="24"/>
          <w:szCs w:val="24"/>
          <w:lang w:val="en" w:eastAsia="it-IT"/>
        </w:rPr>
        <w:t>ing</w:t>
      </w:r>
      <w:r w:rsidRPr="008B4692">
        <w:rPr>
          <w:rFonts w:ascii="Times New Roman" w:eastAsia="Times New Roman" w:hAnsi="Times New Roman" w:cs="Times New Roman"/>
          <w:sz w:val="24"/>
          <w:szCs w:val="24"/>
          <w:lang w:val="en" w:eastAsia="it-IT"/>
        </w:rPr>
        <w:t xml:space="preserve"> each year about 3.5 million SMEs with</w:t>
      </w:r>
      <w:r w:rsidR="008766A2" w:rsidRPr="008B4692">
        <w:rPr>
          <w:rFonts w:ascii="Times New Roman" w:eastAsia="Times New Roman" w:hAnsi="Times New Roman" w:cs="Times New Roman"/>
          <w:sz w:val="24"/>
          <w:szCs w:val="24"/>
          <w:lang w:val="en" w:eastAsia="it-IT"/>
        </w:rPr>
        <w:t xml:space="preserve"> the</w:t>
      </w:r>
      <w:r w:rsidRPr="008B4692">
        <w:rPr>
          <w:rFonts w:ascii="Times New Roman" w:eastAsia="Times New Roman" w:hAnsi="Times New Roman" w:cs="Times New Roman"/>
          <w:sz w:val="24"/>
          <w:szCs w:val="24"/>
          <w:lang w:val="en" w:eastAsia="it-IT"/>
        </w:rPr>
        <w:t xml:space="preserve"> </w:t>
      </w:r>
      <w:r w:rsidR="008766A2" w:rsidRPr="008B4692">
        <w:rPr>
          <w:rFonts w:ascii="Times New Roman" w:eastAsia="Times New Roman" w:hAnsi="Times New Roman" w:cs="Times New Roman"/>
          <w:i/>
          <w:sz w:val="24"/>
          <w:szCs w:val="24"/>
          <w:lang w:val="en" w:eastAsia="it-IT"/>
        </w:rPr>
        <w:t>T</w:t>
      </w:r>
      <w:r w:rsidRPr="008B4692">
        <w:rPr>
          <w:rFonts w:ascii="Times New Roman" w:eastAsia="Times New Roman" w:hAnsi="Times New Roman" w:cs="Times New Roman"/>
          <w:i/>
          <w:sz w:val="24"/>
          <w:szCs w:val="24"/>
          <w:lang w:val="en" w:eastAsia="it-IT"/>
        </w:rPr>
        <w:t>urnover</w:t>
      </w:r>
      <w:r w:rsidRPr="008B4692">
        <w:rPr>
          <w:rFonts w:ascii="Times New Roman" w:eastAsia="Times New Roman" w:hAnsi="Times New Roman" w:cs="Times New Roman"/>
          <w:sz w:val="24"/>
          <w:szCs w:val="24"/>
          <w:lang w:val="en" w:eastAsia="it-IT"/>
        </w:rPr>
        <w:t xml:space="preserve"> </w:t>
      </w:r>
      <w:r w:rsidR="008766A2" w:rsidRPr="008B4692">
        <w:rPr>
          <w:rFonts w:ascii="Times New Roman" w:eastAsia="Times New Roman" w:hAnsi="Times New Roman" w:cs="Times New Roman"/>
          <w:sz w:val="24"/>
          <w:szCs w:val="24"/>
          <w:lang w:val="en" w:eastAsia="it-IT"/>
        </w:rPr>
        <w:t>in the interval [30,000-</w:t>
      </w:r>
      <w:r w:rsidRPr="008B4692">
        <w:rPr>
          <w:rFonts w:ascii="Times New Roman" w:eastAsia="Times New Roman" w:hAnsi="Times New Roman" w:cs="Times New Roman"/>
          <w:sz w:val="24"/>
          <w:szCs w:val="24"/>
          <w:lang w:val="en" w:eastAsia="it-IT"/>
        </w:rPr>
        <w:t>7</w:t>
      </w:r>
      <w:r w:rsidR="008766A2" w:rsidRPr="008B4692">
        <w:rPr>
          <w:rFonts w:ascii="Times New Roman" w:eastAsia="Times New Roman" w:hAnsi="Times New Roman" w:cs="Times New Roman"/>
          <w:sz w:val="24"/>
          <w:szCs w:val="24"/>
          <w:lang w:val="en" w:eastAsia="it-IT"/>
        </w:rPr>
        <w:t>,</w:t>
      </w:r>
      <w:r w:rsidRPr="008B4692">
        <w:rPr>
          <w:rFonts w:ascii="Times New Roman" w:eastAsia="Times New Roman" w:hAnsi="Times New Roman" w:cs="Times New Roman"/>
          <w:sz w:val="24"/>
          <w:szCs w:val="24"/>
          <w:lang w:val="en" w:eastAsia="it-IT"/>
        </w:rPr>
        <w:t>5 million</w:t>
      </w:r>
      <w:r w:rsidR="008766A2" w:rsidRPr="008B4692">
        <w:rPr>
          <w:rFonts w:ascii="Times New Roman" w:eastAsia="Times New Roman" w:hAnsi="Times New Roman" w:cs="Times New Roman"/>
          <w:sz w:val="24"/>
          <w:szCs w:val="24"/>
          <w:lang w:val="en" w:eastAsia="it-IT"/>
        </w:rPr>
        <w:t>]</w:t>
      </w:r>
      <w:r w:rsidR="00D80D77" w:rsidRPr="008B4692">
        <w:rPr>
          <w:rFonts w:ascii="Times New Roman" w:eastAsia="Times New Roman" w:hAnsi="Times New Roman" w:cs="Times New Roman"/>
          <w:sz w:val="24"/>
          <w:szCs w:val="24"/>
          <w:lang w:val="en" w:eastAsia="it-IT"/>
        </w:rPr>
        <w:t xml:space="preserve"> euros</w:t>
      </w:r>
      <w:r w:rsidR="00D80D77" w:rsidRPr="008B4692">
        <w:rPr>
          <w:lang w:val="en" w:eastAsia="it-IT"/>
        </w:rPr>
        <w:footnoteReference w:id="5"/>
      </w:r>
      <w:r w:rsidRPr="008B4692">
        <w:rPr>
          <w:rFonts w:ascii="Times New Roman" w:eastAsia="Times New Roman" w:hAnsi="Times New Roman" w:cs="Times New Roman"/>
          <w:sz w:val="24"/>
          <w:szCs w:val="24"/>
          <w:lang w:val="en" w:eastAsia="it-IT"/>
        </w:rPr>
        <w:t>;</w:t>
      </w:r>
    </w:p>
    <w:p w:rsidR="003E694C"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the Tax returns form data (hereafter </w:t>
      </w:r>
      <w:proofErr w:type="spellStart"/>
      <w:r w:rsidRPr="008B4692">
        <w:rPr>
          <w:rFonts w:ascii="Times New Roman" w:eastAsia="Times New Roman" w:hAnsi="Times New Roman" w:cs="Times New Roman"/>
          <w:sz w:val="24"/>
          <w:szCs w:val="24"/>
          <w:lang w:val="en" w:eastAsia="it-IT"/>
        </w:rPr>
        <w:t>Unico</w:t>
      </w:r>
      <w:proofErr w:type="spellEnd"/>
      <w:r w:rsidRPr="008B4692">
        <w:rPr>
          <w:rFonts w:ascii="Times New Roman" w:eastAsia="Times New Roman" w:hAnsi="Times New Roman" w:cs="Times New Roman"/>
          <w:sz w:val="24"/>
          <w:szCs w:val="24"/>
          <w:lang w:val="en" w:eastAsia="it-IT"/>
        </w:rPr>
        <w:t>), from the Ministry of Economy and Finance, which is based on a unified model of tax declarations by legal form, containing economic information for  different legal forms for about 4.5 million of units</w:t>
      </w:r>
      <w:r w:rsidR="00D80D77" w:rsidRPr="008B4692">
        <w:rPr>
          <w:rFonts w:ascii="Times New Roman" w:eastAsia="Times New Roman" w:hAnsi="Times New Roman" w:cs="Times New Roman"/>
          <w:sz w:val="24"/>
          <w:szCs w:val="24"/>
          <w:lang w:val="en" w:eastAsia="it-IT"/>
        </w:rPr>
        <w:t xml:space="preserve"> each year</w:t>
      </w:r>
      <w:r w:rsidRPr="008B4692">
        <w:rPr>
          <w:rFonts w:ascii="Times New Roman" w:eastAsia="Times New Roman" w:hAnsi="Times New Roman" w:cs="Times New Roman"/>
          <w:sz w:val="24"/>
          <w:szCs w:val="24"/>
          <w:lang w:val="en" w:eastAsia="it-IT"/>
        </w:rPr>
        <w:t>;</w:t>
      </w:r>
    </w:p>
    <w:p w:rsidR="003E694C"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the Social Security Data (hereafter SSD), from the National Security Institute, which includes firm data and individual (employees) data on occupation and labo</w:t>
      </w:r>
      <w:r w:rsidR="00D80D77" w:rsidRPr="008B4692">
        <w:rPr>
          <w:rFonts w:ascii="Times New Roman" w:eastAsia="Times New Roman" w:hAnsi="Times New Roman" w:cs="Times New Roman"/>
          <w:sz w:val="24"/>
          <w:szCs w:val="24"/>
          <w:lang w:val="en" w:eastAsia="it-IT"/>
        </w:rPr>
        <w:t>u</w:t>
      </w:r>
      <w:r w:rsidRPr="008B4692">
        <w:rPr>
          <w:rFonts w:ascii="Times New Roman" w:eastAsia="Times New Roman" w:hAnsi="Times New Roman" w:cs="Times New Roman"/>
          <w:sz w:val="24"/>
          <w:szCs w:val="24"/>
          <w:lang w:val="en" w:eastAsia="it-IT"/>
        </w:rPr>
        <w:t>r cost for all enterprises.</w:t>
      </w:r>
    </w:p>
    <w:p w:rsidR="003E694C" w:rsidRPr="008B4692" w:rsidRDefault="00CE1EAF"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Assessing the feasibility of a new SBS estimation process </w:t>
      </w:r>
      <w:r w:rsidR="003E694C" w:rsidRPr="008B4692">
        <w:rPr>
          <w:rFonts w:ascii="Times New Roman" w:eastAsia="Times New Roman" w:hAnsi="Times New Roman" w:cs="Times New Roman"/>
          <w:sz w:val="24"/>
          <w:szCs w:val="24"/>
          <w:lang w:val="en" w:eastAsia="it-IT"/>
        </w:rPr>
        <w:t xml:space="preserve">based on the (integrated) use of the above sources has implied </w:t>
      </w:r>
      <w:r w:rsidRPr="008B4692">
        <w:rPr>
          <w:rFonts w:ascii="Times New Roman" w:eastAsia="Times New Roman" w:hAnsi="Times New Roman" w:cs="Times New Roman"/>
          <w:sz w:val="24"/>
          <w:szCs w:val="24"/>
          <w:lang w:val="en" w:eastAsia="it-IT"/>
        </w:rPr>
        <w:t xml:space="preserve">a preliminary data </w:t>
      </w:r>
      <w:r w:rsidR="0004088B" w:rsidRPr="008B4692">
        <w:rPr>
          <w:rFonts w:ascii="Times New Roman" w:eastAsia="Times New Roman" w:hAnsi="Times New Roman" w:cs="Times New Roman"/>
          <w:sz w:val="24"/>
          <w:szCs w:val="24"/>
          <w:lang w:val="en" w:eastAsia="it-IT"/>
        </w:rPr>
        <w:t>analysis</w:t>
      </w:r>
      <w:r w:rsidRPr="008B4692">
        <w:rPr>
          <w:rFonts w:ascii="Times New Roman" w:eastAsia="Times New Roman" w:hAnsi="Times New Roman" w:cs="Times New Roman"/>
          <w:sz w:val="24"/>
          <w:szCs w:val="24"/>
          <w:lang w:val="en" w:eastAsia="it-IT"/>
        </w:rPr>
        <w:t xml:space="preserve"> and validation consisting, for each archive, in the</w:t>
      </w:r>
      <w:r w:rsidR="003E694C" w:rsidRPr="008B4692">
        <w:rPr>
          <w:rFonts w:ascii="Times New Roman" w:eastAsia="Times New Roman" w:hAnsi="Times New Roman" w:cs="Times New Roman"/>
          <w:sz w:val="24"/>
          <w:szCs w:val="24"/>
          <w:lang w:val="en" w:eastAsia="it-IT"/>
        </w:rPr>
        <w:t xml:space="preserve"> following </w:t>
      </w:r>
      <w:r w:rsidRPr="008B4692">
        <w:rPr>
          <w:rFonts w:ascii="Times New Roman" w:eastAsia="Times New Roman" w:hAnsi="Times New Roman" w:cs="Times New Roman"/>
          <w:sz w:val="24"/>
          <w:szCs w:val="24"/>
          <w:lang w:val="en" w:eastAsia="it-IT"/>
        </w:rPr>
        <w:t>activities</w:t>
      </w:r>
      <w:r w:rsidR="0004088B" w:rsidRPr="008B4692">
        <w:rPr>
          <w:rFonts w:ascii="Times New Roman" w:eastAsia="Times New Roman" w:hAnsi="Times New Roman" w:cs="Times New Roman"/>
          <w:sz w:val="24"/>
          <w:szCs w:val="24"/>
          <w:lang w:val="en" w:eastAsia="it-IT"/>
        </w:rPr>
        <w:t>, taking into account the specific SBS estimation purposes</w:t>
      </w:r>
      <w:r w:rsidR="003E694C" w:rsidRPr="008B4692">
        <w:rPr>
          <w:rFonts w:ascii="Times New Roman" w:eastAsia="Times New Roman" w:hAnsi="Times New Roman" w:cs="Times New Roman"/>
          <w:sz w:val="24"/>
          <w:szCs w:val="24"/>
          <w:lang w:val="en" w:eastAsia="it-IT"/>
        </w:rPr>
        <w:t>:</w:t>
      </w:r>
    </w:p>
    <w:p w:rsidR="003E694C"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evaluation of </w:t>
      </w:r>
      <w:r w:rsidR="005D4048" w:rsidRPr="008B4692">
        <w:rPr>
          <w:rFonts w:ascii="Times New Roman" w:eastAsia="Times New Roman" w:hAnsi="Times New Roman" w:cs="Times New Roman"/>
          <w:sz w:val="24"/>
          <w:szCs w:val="24"/>
          <w:lang w:val="en" w:eastAsia="it-IT"/>
        </w:rPr>
        <w:t xml:space="preserve">the </w:t>
      </w:r>
      <w:r w:rsidR="00263DF8" w:rsidRPr="008B4692">
        <w:rPr>
          <w:rFonts w:ascii="Times New Roman" w:eastAsia="Times New Roman" w:hAnsi="Times New Roman" w:cs="Times New Roman"/>
          <w:sz w:val="24"/>
          <w:szCs w:val="24"/>
          <w:lang w:val="en" w:eastAsia="it-IT"/>
        </w:rPr>
        <w:t xml:space="preserve">source </w:t>
      </w:r>
      <w:r w:rsidRPr="008B4692">
        <w:rPr>
          <w:rFonts w:ascii="Times New Roman" w:eastAsia="Times New Roman" w:hAnsi="Times New Roman" w:cs="Times New Roman"/>
          <w:sz w:val="24"/>
          <w:szCs w:val="24"/>
          <w:lang w:val="en" w:eastAsia="it-IT"/>
        </w:rPr>
        <w:t xml:space="preserve">usability </w:t>
      </w:r>
      <w:r w:rsidR="00263DF8" w:rsidRPr="008B4692">
        <w:rPr>
          <w:rFonts w:ascii="Times New Roman" w:eastAsia="Times New Roman" w:hAnsi="Times New Roman" w:cs="Times New Roman"/>
          <w:sz w:val="24"/>
          <w:szCs w:val="24"/>
          <w:lang w:val="en" w:eastAsia="it-IT"/>
        </w:rPr>
        <w:t xml:space="preserve">in terms of </w:t>
      </w:r>
      <w:r w:rsidRPr="008B4692">
        <w:rPr>
          <w:rFonts w:ascii="Times New Roman" w:eastAsia="Times New Roman" w:hAnsi="Times New Roman" w:cs="Times New Roman"/>
          <w:sz w:val="24"/>
          <w:szCs w:val="24"/>
          <w:lang w:val="en" w:eastAsia="it-IT"/>
        </w:rPr>
        <w:t>timeliness, stability, coverage;</w:t>
      </w:r>
    </w:p>
    <w:p w:rsidR="003E694C"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editing </w:t>
      </w:r>
      <w:r w:rsidR="00263DF8" w:rsidRPr="008B4692">
        <w:rPr>
          <w:rFonts w:ascii="Times New Roman" w:eastAsia="Times New Roman" w:hAnsi="Times New Roman" w:cs="Times New Roman"/>
          <w:sz w:val="24"/>
          <w:szCs w:val="24"/>
          <w:lang w:val="en" w:eastAsia="it-IT"/>
        </w:rPr>
        <w:t>the source data (</w:t>
      </w:r>
      <w:r w:rsidRPr="008B4692">
        <w:rPr>
          <w:rFonts w:ascii="Times New Roman" w:eastAsia="Times New Roman" w:hAnsi="Times New Roman" w:cs="Times New Roman"/>
          <w:sz w:val="24"/>
          <w:szCs w:val="24"/>
          <w:lang w:val="en" w:eastAsia="it-IT"/>
        </w:rPr>
        <w:t xml:space="preserve">identification </w:t>
      </w:r>
      <w:r w:rsidR="00263DF8" w:rsidRPr="008B4692">
        <w:rPr>
          <w:rFonts w:ascii="Times New Roman" w:eastAsia="Times New Roman" w:hAnsi="Times New Roman" w:cs="Times New Roman"/>
          <w:sz w:val="24"/>
          <w:szCs w:val="24"/>
          <w:lang w:val="en" w:eastAsia="it-IT"/>
        </w:rPr>
        <w:t xml:space="preserve">of </w:t>
      </w:r>
      <w:r w:rsidRPr="008B4692">
        <w:rPr>
          <w:rFonts w:ascii="Times New Roman" w:eastAsia="Times New Roman" w:hAnsi="Times New Roman" w:cs="Times New Roman"/>
          <w:sz w:val="24"/>
          <w:szCs w:val="24"/>
          <w:lang w:val="en" w:eastAsia="it-IT"/>
        </w:rPr>
        <w:t>errors, duplicated units, not coherent data, etc</w:t>
      </w:r>
      <w:r w:rsidR="0004088B" w:rsidRPr="008B4692">
        <w:rPr>
          <w:rFonts w:ascii="Times New Roman" w:eastAsia="Times New Roman" w:hAnsi="Times New Roman" w:cs="Times New Roman"/>
          <w:sz w:val="24"/>
          <w:szCs w:val="24"/>
          <w:lang w:val="en" w:eastAsia="it-IT"/>
        </w:rPr>
        <w:t>.</w:t>
      </w:r>
      <w:r w:rsidRPr="008B4692">
        <w:rPr>
          <w:rFonts w:ascii="Times New Roman" w:eastAsia="Times New Roman" w:hAnsi="Times New Roman" w:cs="Times New Roman"/>
          <w:sz w:val="24"/>
          <w:szCs w:val="24"/>
          <w:lang w:val="en" w:eastAsia="it-IT"/>
        </w:rPr>
        <w:t xml:space="preserve">); </w:t>
      </w:r>
    </w:p>
    <w:p w:rsidR="003E694C"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harmonization of variables definitions;</w:t>
      </w:r>
    </w:p>
    <w:p w:rsidR="00E21DB4" w:rsidRPr="008B4692" w:rsidRDefault="003E694C" w:rsidP="008B4692">
      <w:pPr>
        <w:pStyle w:val="Paragrafoelenco"/>
        <w:numPr>
          <w:ilvl w:val="0"/>
          <w:numId w:val="35"/>
        </w:numPr>
        <w:shd w:val="clear" w:color="auto" w:fill="FFFFFF"/>
        <w:spacing w:after="0" w:line="360" w:lineRule="auto"/>
        <w:ind w:left="426"/>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evaluation of </w:t>
      </w:r>
      <w:r w:rsidR="0004088B" w:rsidRPr="008B4692">
        <w:rPr>
          <w:rFonts w:ascii="Times New Roman" w:eastAsia="Times New Roman" w:hAnsi="Times New Roman" w:cs="Times New Roman"/>
          <w:sz w:val="24"/>
          <w:szCs w:val="24"/>
          <w:lang w:val="en" w:eastAsia="it-IT"/>
        </w:rPr>
        <w:t xml:space="preserve">the </w:t>
      </w:r>
      <w:r w:rsidRPr="008B4692">
        <w:rPr>
          <w:rFonts w:ascii="Times New Roman" w:eastAsia="Times New Roman" w:hAnsi="Times New Roman" w:cs="Times New Roman"/>
          <w:i/>
          <w:sz w:val="24"/>
          <w:szCs w:val="24"/>
          <w:lang w:val="en" w:eastAsia="it-IT"/>
        </w:rPr>
        <w:t>statistical</w:t>
      </w:r>
      <w:r w:rsidRPr="008B4692">
        <w:rPr>
          <w:rFonts w:ascii="Times New Roman" w:eastAsia="Times New Roman" w:hAnsi="Times New Roman" w:cs="Times New Roman"/>
          <w:sz w:val="24"/>
          <w:szCs w:val="24"/>
          <w:lang w:val="en" w:eastAsia="it-IT"/>
        </w:rPr>
        <w:t xml:space="preserve"> usability </w:t>
      </w:r>
      <w:r w:rsidR="00C43E50" w:rsidRPr="008B4692">
        <w:rPr>
          <w:rFonts w:ascii="Times New Roman" w:eastAsia="Times New Roman" w:hAnsi="Times New Roman" w:cs="Times New Roman"/>
          <w:sz w:val="24"/>
          <w:szCs w:val="24"/>
          <w:lang w:val="en" w:eastAsia="it-IT"/>
        </w:rPr>
        <w:t xml:space="preserve">(quality) </w:t>
      </w:r>
      <w:r w:rsidRPr="008B4692">
        <w:rPr>
          <w:rFonts w:ascii="Times New Roman" w:eastAsia="Times New Roman" w:hAnsi="Times New Roman" w:cs="Times New Roman"/>
          <w:sz w:val="24"/>
          <w:szCs w:val="24"/>
          <w:lang w:val="en" w:eastAsia="it-IT"/>
        </w:rPr>
        <w:t>of the source.</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In terms of timeliness and punctuality, each source is regular and stable over time: the possibility of delays in the data provision, and the possible changes in the sources’ contents have been considered of limited effects on the overall SBS production process especially once an appropriate process and data monitoring service is established with the external Authorities.  </w:t>
      </w:r>
    </w:p>
    <w:p w:rsidR="003E694C" w:rsidRPr="008B4692" w:rsidRDefault="003E694C" w:rsidP="008B4692">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In terms of units coverage, each source covers (partially overlapping) sub-sets of the SME population: overall, more than 95% of SMEs is covered by the considered sources. Concerning coverage of variables, not all the SBS variables can be directly derived from each source, while some sources provide information on common key SBS items.</w:t>
      </w:r>
    </w:p>
    <w:p w:rsidR="003E694C" w:rsidRPr="008B4692" w:rsidRDefault="002432E1" w:rsidP="008D71FF">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The </w:t>
      </w:r>
      <w:r w:rsidR="003E694C" w:rsidRPr="008B4692">
        <w:rPr>
          <w:rFonts w:ascii="Times New Roman" w:eastAsia="Times New Roman" w:hAnsi="Times New Roman" w:cs="Times New Roman"/>
          <w:sz w:val="24"/>
          <w:szCs w:val="24"/>
          <w:lang w:val="en" w:eastAsia="it-IT"/>
        </w:rPr>
        <w:t xml:space="preserve">preliminary editing </w:t>
      </w:r>
      <w:r w:rsidRPr="008B4692">
        <w:rPr>
          <w:rFonts w:ascii="Times New Roman" w:eastAsia="Times New Roman" w:hAnsi="Times New Roman" w:cs="Times New Roman"/>
          <w:sz w:val="24"/>
          <w:szCs w:val="24"/>
          <w:lang w:val="en" w:eastAsia="it-IT"/>
        </w:rPr>
        <w:t>of sources’ data was necessary in order to</w:t>
      </w:r>
      <w:r w:rsidR="003E694C" w:rsidRPr="008B4692">
        <w:rPr>
          <w:rFonts w:ascii="Times New Roman" w:eastAsia="Times New Roman" w:hAnsi="Times New Roman" w:cs="Times New Roman"/>
          <w:sz w:val="24"/>
          <w:szCs w:val="24"/>
          <w:lang w:val="en" w:eastAsia="it-IT"/>
        </w:rPr>
        <w:t xml:space="preserve"> detect </w:t>
      </w:r>
      <w:r w:rsidRPr="008B4692">
        <w:rPr>
          <w:rFonts w:ascii="Times New Roman" w:eastAsia="Times New Roman" w:hAnsi="Times New Roman" w:cs="Times New Roman"/>
          <w:sz w:val="24"/>
          <w:szCs w:val="24"/>
          <w:lang w:val="en" w:eastAsia="it-IT"/>
        </w:rPr>
        <w:t xml:space="preserve">measurement </w:t>
      </w:r>
      <w:r w:rsidR="003E694C" w:rsidRPr="008B4692">
        <w:rPr>
          <w:rFonts w:ascii="Times New Roman" w:eastAsia="Times New Roman" w:hAnsi="Times New Roman" w:cs="Times New Roman"/>
          <w:sz w:val="24"/>
          <w:szCs w:val="24"/>
          <w:lang w:val="en" w:eastAsia="it-IT"/>
        </w:rPr>
        <w:t xml:space="preserve">errors, duplication of units, </w:t>
      </w:r>
      <w:r w:rsidRPr="008B4692">
        <w:rPr>
          <w:rFonts w:ascii="Times New Roman" w:eastAsia="Times New Roman" w:hAnsi="Times New Roman" w:cs="Times New Roman"/>
          <w:sz w:val="24"/>
          <w:szCs w:val="24"/>
          <w:lang w:val="en" w:eastAsia="it-IT"/>
        </w:rPr>
        <w:t xml:space="preserve">and </w:t>
      </w:r>
      <w:r w:rsidR="003E694C" w:rsidRPr="008B4692">
        <w:rPr>
          <w:rFonts w:ascii="Times New Roman" w:eastAsia="Times New Roman" w:hAnsi="Times New Roman" w:cs="Times New Roman"/>
          <w:sz w:val="24"/>
          <w:szCs w:val="24"/>
          <w:lang w:val="en" w:eastAsia="it-IT"/>
        </w:rPr>
        <w:t xml:space="preserve">incoherent </w:t>
      </w:r>
      <w:r w:rsidRPr="008B4692">
        <w:rPr>
          <w:rFonts w:ascii="Times New Roman" w:eastAsia="Times New Roman" w:hAnsi="Times New Roman" w:cs="Times New Roman"/>
          <w:sz w:val="24"/>
          <w:szCs w:val="24"/>
          <w:lang w:val="en" w:eastAsia="it-IT"/>
        </w:rPr>
        <w:t xml:space="preserve">intra-unit </w:t>
      </w:r>
      <w:r w:rsidR="003E694C" w:rsidRPr="008B4692">
        <w:rPr>
          <w:rFonts w:ascii="Times New Roman" w:eastAsia="Times New Roman" w:hAnsi="Times New Roman" w:cs="Times New Roman"/>
          <w:sz w:val="24"/>
          <w:szCs w:val="24"/>
          <w:lang w:val="en" w:eastAsia="it-IT"/>
        </w:rPr>
        <w:t>data. It has to be remarked that in each source</w:t>
      </w:r>
      <w:r w:rsidRPr="008B4692">
        <w:rPr>
          <w:rFonts w:ascii="Times New Roman" w:eastAsia="Times New Roman" w:hAnsi="Times New Roman" w:cs="Times New Roman"/>
          <w:sz w:val="24"/>
          <w:szCs w:val="24"/>
          <w:lang w:val="en" w:eastAsia="it-IT"/>
        </w:rPr>
        <w:t xml:space="preserve">, the </w:t>
      </w:r>
      <w:r w:rsidRPr="008B4692">
        <w:rPr>
          <w:rFonts w:ascii="Times New Roman" w:eastAsia="Times New Roman" w:hAnsi="Times New Roman" w:cs="Times New Roman"/>
          <w:sz w:val="24"/>
          <w:szCs w:val="24"/>
          <w:lang w:val="en" w:eastAsia="it-IT"/>
        </w:rPr>
        <w:lastRenderedPageBreak/>
        <w:t>statistical units</w:t>
      </w:r>
      <w:r w:rsidR="003E694C" w:rsidRPr="008B4692">
        <w:rPr>
          <w:rFonts w:ascii="Times New Roman" w:eastAsia="Times New Roman" w:hAnsi="Times New Roman" w:cs="Times New Roman"/>
          <w:sz w:val="24"/>
          <w:szCs w:val="24"/>
          <w:lang w:val="en" w:eastAsia="it-IT"/>
        </w:rPr>
        <w:t xml:space="preserve"> </w:t>
      </w:r>
      <w:r w:rsidRPr="008B4692">
        <w:rPr>
          <w:rFonts w:ascii="Times New Roman" w:eastAsia="Times New Roman" w:hAnsi="Times New Roman" w:cs="Times New Roman"/>
          <w:sz w:val="24"/>
          <w:szCs w:val="24"/>
          <w:lang w:val="en" w:eastAsia="it-IT"/>
        </w:rPr>
        <w:t xml:space="preserve">(the </w:t>
      </w:r>
      <w:r w:rsidR="003E694C" w:rsidRPr="008B4692">
        <w:rPr>
          <w:rFonts w:ascii="Times New Roman" w:eastAsia="Times New Roman" w:hAnsi="Times New Roman" w:cs="Times New Roman"/>
          <w:sz w:val="24"/>
          <w:szCs w:val="24"/>
          <w:lang w:val="en" w:eastAsia="it-IT"/>
        </w:rPr>
        <w:t>enterprises</w:t>
      </w:r>
      <w:r w:rsidRPr="008B4692">
        <w:rPr>
          <w:rFonts w:ascii="Times New Roman" w:eastAsia="Times New Roman" w:hAnsi="Times New Roman" w:cs="Times New Roman"/>
          <w:sz w:val="24"/>
          <w:szCs w:val="24"/>
          <w:lang w:val="en" w:eastAsia="it-IT"/>
        </w:rPr>
        <w:t>)</w:t>
      </w:r>
      <w:r w:rsidR="003E694C" w:rsidRPr="008B4692">
        <w:rPr>
          <w:rFonts w:ascii="Times New Roman" w:eastAsia="Times New Roman" w:hAnsi="Times New Roman" w:cs="Times New Roman"/>
          <w:sz w:val="24"/>
          <w:szCs w:val="24"/>
          <w:lang w:val="en" w:eastAsia="it-IT"/>
        </w:rPr>
        <w:t xml:space="preserve"> are identified based on a complex procedure performed at the BR </w:t>
      </w:r>
      <w:r w:rsidRPr="008B4692">
        <w:rPr>
          <w:rFonts w:ascii="Times New Roman" w:eastAsia="Times New Roman" w:hAnsi="Times New Roman" w:cs="Times New Roman"/>
          <w:sz w:val="24"/>
          <w:szCs w:val="24"/>
          <w:lang w:val="en" w:eastAsia="it-IT"/>
        </w:rPr>
        <w:t>construction</w:t>
      </w:r>
      <w:r w:rsidR="003E694C" w:rsidRPr="008B4692">
        <w:rPr>
          <w:rFonts w:ascii="Times New Roman" w:eastAsia="Times New Roman" w:hAnsi="Times New Roman" w:cs="Times New Roman"/>
          <w:sz w:val="24"/>
          <w:szCs w:val="24"/>
          <w:lang w:val="en" w:eastAsia="it-IT"/>
        </w:rPr>
        <w:t xml:space="preserve"> stage, together with their structural characteristics (</w:t>
      </w:r>
      <w:r w:rsidRPr="008B4692">
        <w:rPr>
          <w:rFonts w:ascii="Times New Roman" w:eastAsia="Times New Roman" w:hAnsi="Times New Roman" w:cs="Times New Roman"/>
          <w:sz w:val="24"/>
          <w:szCs w:val="24"/>
          <w:lang w:val="en" w:eastAsia="it-IT"/>
        </w:rPr>
        <w:t xml:space="preserve">e.g. </w:t>
      </w:r>
      <w:r w:rsidR="003E694C" w:rsidRPr="008B4692">
        <w:rPr>
          <w:rFonts w:ascii="Times New Roman" w:eastAsia="Times New Roman" w:hAnsi="Times New Roman" w:cs="Times New Roman"/>
          <w:sz w:val="24"/>
          <w:szCs w:val="24"/>
          <w:lang w:val="en" w:eastAsia="it-IT"/>
        </w:rPr>
        <w:t xml:space="preserve">economic </w:t>
      </w:r>
      <w:r w:rsidR="0018133C">
        <w:rPr>
          <w:rFonts w:ascii="Times New Roman" w:eastAsia="Times New Roman" w:hAnsi="Times New Roman" w:cs="Times New Roman"/>
          <w:sz w:val="24"/>
          <w:szCs w:val="24"/>
          <w:lang w:val="en" w:eastAsia="it-IT"/>
        </w:rPr>
        <w:t>activity</w:t>
      </w:r>
      <w:r w:rsidR="003E694C" w:rsidRPr="008B4692">
        <w:rPr>
          <w:rFonts w:ascii="Times New Roman" w:eastAsia="Times New Roman" w:hAnsi="Times New Roman" w:cs="Times New Roman"/>
          <w:sz w:val="24"/>
          <w:szCs w:val="24"/>
          <w:lang w:val="en" w:eastAsia="it-IT"/>
        </w:rPr>
        <w:t xml:space="preserve">, size, localization). However, despite </w:t>
      </w:r>
      <w:r w:rsidRPr="008B4692">
        <w:rPr>
          <w:rFonts w:ascii="Times New Roman" w:eastAsia="Times New Roman" w:hAnsi="Times New Roman" w:cs="Times New Roman"/>
          <w:sz w:val="24"/>
          <w:szCs w:val="24"/>
          <w:lang w:val="en" w:eastAsia="it-IT"/>
        </w:rPr>
        <w:t>the</w:t>
      </w:r>
      <w:r w:rsidR="003E694C" w:rsidRPr="008B4692">
        <w:rPr>
          <w:rFonts w:ascii="Times New Roman" w:eastAsia="Times New Roman" w:hAnsi="Times New Roman" w:cs="Times New Roman"/>
          <w:sz w:val="24"/>
          <w:szCs w:val="24"/>
          <w:lang w:val="en" w:eastAsia="it-IT"/>
        </w:rPr>
        <w:t xml:space="preserve"> unique </w:t>
      </w:r>
      <w:r w:rsidR="00D76C92">
        <w:rPr>
          <w:rFonts w:ascii="Times New Roman" w:eastAsia="Times New Roman" w:hAnsi="Times New Roman" w:cs="Times New Roman"/>
          <w:sz w:val="24"/>
          <w:szCs w:val="24"/>
          <w:lang w:val="en" w:eastAsia="it-IT"/>
        </w:rPr>
        <w:t>ID</w:t>
      </w:r>
      <w:r w:rsidR="003E694C" w:rsidRPr="008B4692">
        <w:rPr>
          <w:rFonts w:ascii="Times New Roman" w:eastAsia="Times New Roman" w:hAnsi="Times New Roman" w:cs="Times New Roman"/>
          <w:sz w:val="24"/>
          <w:szCs w:val="24"/>
          <w:lang w:val="en" w:eastAsia="it-IT"/>
        </w:rPr>
        <w:t xml:space="preserve"> code </w:t>
      </w:r>
      <w:r w:rsidRPr="008B4692">
        <w:rPr>
          <w:rFonts w:ascii="Times New Roman" w:eastAsia="Times New Roman" w:hAnsi="Times New Roman" w:cs="Times New Roman"/>
          <w:sz w:val="24"/>
          <w:szCs w:val="24"/>
          <w:lang w:val="en" w:eastAsia="it-IT"/>
        </w:rPr>
        <w:t>assigned to each enterprise in</w:t>
      </w:r>
      <w:r w:rsidR="003E694C" w:rsidRPr="008B4692">
        <w:rPr>
          <w:rFonts w:ascii="Times New Roman" w:eastAsia="Times New Roman" w:hAnsi="Times New Roman" w:cs="Times New Roman"/>
          <w:sz w:val="24"/>
          <w:szCs w:val="24"/>
          <w:lang w:val="en" w:eastAsia="it-IT"/>
        </w:rPr>
        <w:t xml:space="preserve"> each source, different </w:t>
      </w:r>
      <w:r w:rsidR="00D76C92">
        <w:rPr>
          <w:rFonts w:ascii="Times New Roman" w:eastAsia="Times New Roman" w:hAnsi="Times New Roman" w:cs="Times New Roman"/>
          <w:sz w:val="24"/>
          <w:szCs w:val="24"/>
          <w:lang w:val="en" w:eastAsia="it-IT"/>
        </w:rPr>
        <w:t>amounts</w:t>
      </w:r>
      <w:r w:rsidR="003E694C" w:rsidRPr="008B4692">
        <w:rPr>
          <w:rFonts w:ascii="Times New Roman" w:eastAsia="Times New Roman" w:hAnsi="Times New Roman" w:cs="Times New Roman"/>
          <w:sz w:val="24"/>
          <w:szCs w:val="24"/>
          <w:lang w:val="en" w:eastAsia="it-IT"/>
        </w:rPr>
        <w:t xml:space="preserve"> of duplicated units in </w:t>
      </w:r>
      <w:r w:rsidRPr="008B4692">
        <w:rPr>
          <w:rFonts w:ascii="Times New Roman" w:eastAsia="Times New Roman" w:hAnsi="Times New Roman" w:cs="Times New Roman"/>
          <w:sz w:val="24"/>
          <w:szCs w:val="24"/>
          <w:lang w:val="en" w:eastAsia="it-IT"/>
        </w:rPr>
        <w:t xml:space="preserve">each archive </w:t>
      </w:r>
      <w:r w:rsidR="003E694C" w:rsidRPr="008B4692">
        <w:rPr>
          <w:rFonts w:ascii="Times New Roman" w:eastAsia="Times New Roman" w:hAnsi="Times New Roman" w:cs="Times New Roman"/>
          <w:sz w:val="24"/>
          <w:szCs w:val="24"/>
          <w:lang w:val="en" w:eastAsia="it-IT"/>
        </w:rPr>
        <w:t xml:space="preserve">have been identified. </w:t>
      </w:r>
      <w:r w:rsidRPr="008B4692">
        <w:rPr>
          <w:rFonts w:ascii="Times New Roman" w:eastAsia="Times New Roman" w:hAnsi="Times New Roman" w:cs="Times New Roman"/>
          <w:sz w:val="24"/>
          <w:szCs w:val="24"/>
          <w:lang w:val="en" w:eastAsia="it-IT"/>
        </w:rPr>
        <w:t>A</w:t>
      </w:r>
      <w:r w:rsidR="00D76C92">
        <w:rPr>
          <w:rFonts w:ascii="Times New Roman" w:eastAsia="Times New Roman" w:hAnsi="Times New Roman" w:cs="Times New Roman"/>
          <w:sz w:val="24"/>
          <w:szCs w:val="24"/>
          <w:lang w:val="en" w:eastAsia="it-IT"/>
        </w:rPr>
        <w:t>utomatic corrections w</w:t>
      </w:r>
      <w:r w:rsidR="003E694C" w:rsidRPr="008B4692">
        <w:rPr>
          <w:rFonts w:ascii="Times New Roman" w:eastAsia="Times New Roman" w:hAnsi="Times New Roman" w:cs="Times New Roman"/>
          <w:sz w:val="24"/>
          <w:szCs w:val="24"/>
          <w:lang w:val="en" w:eastAsia="it-IT"/>
        </w:rPr>
        <w:t xml:space="preserve">ere </w:t>
      </w:r>
      <w:r w:rsidRPr="008B4692">
        <w:rPr>
          <w:rFonts w:ascii="Times New Roman" w:eastAsia="Times New Roman" w:hAnsi="Times New Roman" w:cs="Times New Roman"/>
          <w:sz w:val="24"/>
          <w:szCs w:val="24"/>
          <w:lang w:val="en" w:eastAsia="it-IT"/>
        </w:rPr>
        <w:t xml:space="preserve">also </w:t>
      </w:r>
      <w:r w:rsidR="003E694C" w:rsidRPr="008B4692">
        <w:rPr>
          <w:rFonts w:ascii="Times New Roman" w:eastAsia="Times New Roman" w:hAnsi="Times New Roman" w:cs="Times New Roman"/>
          <w:sz w:val="24"/>
          <w:szCs w:val="24"/>
          <w:lang w:val="en" w:eastAsia="it-IT"/>
        </w:rPr>
        <w:t>performed, whenever possible, in case of not coherent firm data.</w:t>
      </w:r>
      <w:r w:rsidR="00675555" w:rsidRPr="008B4692">
        <w:rPr>
          <w:rFonts w:ascii="Times New Roman" w:eastAsia="Times New Roman" w:hAnsi="Times New Roman" w:cs="Times New Roman"/>
          <w:sz w:val="24"/>
          <w:szCs w:val="24"/>
          <w:lang w:val="en" w:eastAsia="it-IT"/>
        </w:rPr>
        <w:t xml:space="preserve"> A number of </w:t>
      </w:r>
      <w:r w:rsidR="00E8094A" w:rsidRPr="008B4692">
        <w:rPr>
          <w:rFonts w:ascii="Times New Roman" w:eastAsia="Times New Roman" w:hAnsi="Times New Roman" w:cs="Times New Roman"/>
          <w:sz w:val="24"/>
          <w:szCs w:val="24"/>
          <w:lang w:val="en" w:eastAsia="it-IT"/>
        </w:rPr>
        <w:t>units</w:t>
      </w:r>
      <w:r w:rsidR="00675555" w:rsidRPr="008B4692">
        <w:rPr>
          <w:rFonts w:ascii="Times New Roman" w:eastAsia="Times New Roman" w:hAnsi="Times New Roman" w:cs="Times New Roman"/>
          <w:sz w:val="24"/>
          <w:szCs w:val="24"/>
          <w:lang w:val="en" w:eastAsia="it-IT"/>
        </w:rPr>
        <w:t xml:space="preserve"> were discarded </w:t>
      </w:r>
      <w:r w:rsidR="00E8094A" w:rsidRPr="008B4692">
        <w:rPr>
          <w:rFonts w:ascii="Times New Roman" w:eastAsia="Times New Roman" w:hAnsi="Times New Roman" w:cs="Times New Roman"/>
          <w:sz w:val="24"/>
          <w:szCs w:val="24"/>
          <w:lang w:val="en" w:eastAsia="it-IT"/>
        </w:rPr>
        <w:t xml:space="preserve">in case of too </w:t>
      </w:r>
      <w:r w:rsidR="002B1A95" w:rsidRPr="008B4692">
        <w:rPr>
          <w:rFonts w:ascii="Times New Roman" w:eastAsia="Times New Roman" w:hAnsi="Times New Roman" w:cs="Times New Roman"/>
          <w:sz w:val="24"/>
          <w:szCs w:val="24"/>
          <w:lang w:val="en" w:eastAsia="it-IT"/>
        </w:rPr>
        <w:t xml:space="preserve">complex </w:t>
      </w:r>
      <w:r w:rsidR="00E8094A" w:rsidRPr="008B4692">
        <w:rPr>
          <w:rFonts w:ascii="Times New Roman" w:eastAsia="Times New Roman" w:hAnsi="Times New Roman" w:cs="Times New Roman"/>
          <w:sz w:val="24"/>
          <w:szCs w:val="24"/>
          <w:lang w:val="en" w:eastAsia="it-IT"/>
        </w:rPr>
        <w:t>data inconsistencies</w:t>
      </w:r>
      <w:r w:rsidRPr="008B4692">
        <w:rPr>
          <w:rFonts w:ascii="Times New Roman" w:eastAsia="Times New Roman" w:hAnsi="Times New Roman" w:cs="Times New Roman"/>
          <w:sz w:val="24"/>
          <w:szCs w:val="24"/>
          <w:lang w:val="en" w:eastAsia="it-IT"/>
        </w:rPr>
        <w:t>.</w:t>
      </w:r>
    </w:p>
    <w:p w:rsidR="003E694C" w:rsidRPr="008B4692" w:rsidRDefault="00095787" w:rsidP="008D71FF">
      <w:pPr>
        <w:shd w:val="clear" w:color="auto" w:fill="FFFFFF"/>
        <w:spacing w:after="0" w:line="360" w:lineRule="auto"/>
        <w:jc w:val="both"/>
        <w:rPr>
          <w:rFonts w:ascii="Times New Roman" w:eastAsia="Times New Roman" w:hAnsi="Times New Roman" w:cs="Times New Roman"/>
          <w:sz w:val="24"/>
          <w:szCs w:val="24"/>
          <w:lang w:val="en" w:eastAsia="it-IT"/>
        </w:rPr>
      </w:pPr>
      <w:r w:rsidRPr="008B4692">
        <w:rPr>
          <w:rFonts w:ascii="Times New Roman" w:eastAsia="Times New Roman" w:hAnsi="Times New Roman" w:cs="Times New Roman"/>
          <w:sz w:val="24"/>
          <w:szCs w:val="24"/>
          <w:lang w:val="en" w:eastAsia="it-IT"/>
        </w:rPr>
        <w:t xml:space="preserve">A critical </w:t>
      </w:r>
      <w:r w:rsidR="004B1077" w:rsidRPr="008B4692">
        <w:rPr>
          <w:rFonts w:ascii="Times New Roman" w:eastAsia="Times New Roman" w:hAnsi="Times New Roman" w:cs="Times New Roman"/>
          <w:sz w:val="24"/>
          <w:szCs w:val="24"/>
          <w:lang w:val="en" w:eastAsia="it-IT"/>
        </w:rPr>
        <w:t xml:space="preserve">phase </w:t>
      </w:r>
      <w:r w:rsidR="003E694C" w:rsidRPr="008B4692">
        <w:rPr>
          <w:rFonts w:ascii="Times New Roman" w:eastAsia="Times New Roman" w:hAnsi="Times New Roman" w:cs="Times New Roman"/>
          <w:sz w:val="24"/>
          <w:szCs w:val="24"/>
          <w:lang w:val="en" w:eastAsia="it-IT"/>
        </w:rPr>
        <w:t xml:space="preserve">consisted in </w:t>
      </w:r>
      <w:r w:rsidRPr="008B4692">
        <w:rPr>
          <w:rFonts w:ascii="Times New Roman" w:eastAsia="Times New Roman" w:hAnsi="Times New Roman" w:cs="Times New Roman"/>
          <w:sz w:val="24"/>
          <w:szCs w:val="24"/>
          <w:lang w:val="en" w:eastAsia="it-IT"/>
        </w:rPr>
        <w:t>the first harmonization</w:t>
      </w:r>
      <w:r w:rsidR="003E694C" w:rsidRPr="008B4692">
        <w:rPr>
          <w:rFonts w:ascii="Times New Roman" w:eastAsia="Times New Roman" w:hAnsi="Times New Roman" w:cs="Times New Roman"/>
          <w:sz w:val="24"/>
          <w:szCs w:val="24"/>
          <w:lang w:val="en" w:eastAsia="it-IT"/>
        </w:rPr>
        <w:t xml:space="preserve"> of the administrative contents </w:t>
      </w:r>
      <w:r w:rsidR="00D03241" w:rsidRPr="008B4692">
        <w:rPr>
          <w:rFonts w:ascii="Times New Roman" w:eastAsia="Times New Roman" w:hAnsi="Times New Roman" w:cs="Times New Roman"/>
          <w:sz w:val="24"/>
          <w:szCs w:val="24"/>
          <w:lang w:val="en" w:eastAsia="it-IT"/>
        </w:rPr>
        <w:t>w.r.t.</w:t>
      </w:r>
      <w:r w:rsidR="003E694C" w:rsidRPr="008B4692">
        <w:rPr>
          <w:rFonts w:ascii="Times New Roman" w:eastAsia="Times New Roman" w:hAnsi="Times New Roman" w:cs="Times New Roman"/>
          <w:sz w:val="24"/>
          <w:szCs w:val="24"/>
          <w:lang w:val="en" w:eastAsia="it-IT"/>
        </w:rPr>
        <w:t xml:space="preserve"> the SBS definitions described by the SBS regulation</w:t>
      </w:r>
      <w:r w:rsidRPr="008B4692">
        <w:rPr>
          <w:rFonts w:ascii="Times New Roman" w:eastAsia="Times New Roman" w:hAnsi="Times New Roman" w:cs="Times New Roman"/>
          <w:sz w:val="24"/>
          <w:szCs w:val="24"/>
          <w:lang w:val="en" w:eastAsia="it-IT"/>
        </w:rPr>
        <w:t xml:space="preserve">. </w:t>
      </w:r>
      <w:r w:rsidR="00D03241" w:rsidRPr="008B4692">
        <w:rPr>
          <w:rFonts w:ascii="Times New Roman" w:eastAsia="Times New Roman" w:hAnsi="Times New Roman" w:cs="Times New Roman"/>
          <w:sz w:val="24"/>
          <w:szCs w:val="24"/>
          <w:lang w:val="en" w:eastAsia="it-IT"/>
        </w:rPr>
        <w:t>It has to be noted that</w:t>
      </w:r>
      <w:r w:rsidR="003E694C" w:rsidRPr="008B4692">
        <w:rPr>
          <w:rFonts w:ascii="Times New Roman" w:eastAsia="Times New Roman" w:hAnsi="Times New Roman" w:cs="Times New Roman"/>
          <w:sz w:val="24"/>
          <w:szCs w:val="24"/>
          <w:lang w:val="en" w:eastAsia="it-IT"/>
        </w:rPr>
        <w:t xml:space="preserve"> it was not always possible to “reconcile” administrative and statistical definitions. As a consequence, </w:t>
      </w:r>
      <w:r w:rsidR="004B1077">
        <w:rPr>
          <w:rFonts w:ascii="Times New Roman" w:eastAsia="Times New Roman" w:hAnsi="Times New Roman" w:cs="Times New Roman"/>
          <w:sz w:val="24"/>
          <w:szCs w:val="24"/>
          <w:lang w:val="en" w:eastAsia="it-IT"/>
        </w:rPr>
        <w:t>some</w:t>
      </w:r>
      <w:r w:rsidR="003E694C" w:rsidRPr="008B4692">
        <w:rPr>
          <w:rFonts w:ascii="Times New Roman" w:eastAsia="Times New Roman" w:hAnsi="Times New Roman" w:cs="Times New Roman"/>
          <w:sz w:val="24"/>
          <w:szCs w:val="24"/>
          <w:lang w:val="en" w:eastAsia="it-IT"/>
        </w:rPr>
        <w:t xml:space="preserve"> source information </w:t>
      </w:r>
      <w:r w:rsidR="002C33D3" w:rsidRPr="008B4692">
        <w:rPr>
          <w:rFonts w:ascii="Times New Roman" w:eastAsia="Times New Roman" w:hAnsi="Times New Roman" w:cs="Times New Roman"/>
          <w:sz w:val="24"/>
          <w:szCs w:val="24"/>
          <w:lang w:val="en" w:eastAsia="it-IT"/>
        </w:rPr>
        <w:t>was</w:t>
      </w:r>
      <w:r w:rsidR="003E694C" w:rsidRPr="008B4692">
        <w:rPr>
          <w:rFonts w:ascii="Times New Roman" w:eastAsia="Times New Roman" w:hAnsi="Times New Roman" w:cs="Times New Roman"/>
          <w:sz w:val="24"/>
          <w:szCs w:val="24"/>
          <w:lang w:val="en" w:eastAsia="it-IT"/>
        </w:rPr>
        <w:t xml:space="preserve"> either discarded or </w:t>
      </w:r>
      <w:r w:rsidR="002C33D3" w:rsidRPr="008B4692">
        <w:rPr>
          <w:rFonts w:ascii="Times New Roman" w:eastAsia="Times New Roman" w:hAnsi="Times New Roman" w:cs="Times New Roman"/>
          <w:sz w:val="24"/>
          <w:szCs w:val="24"/>
          <w:lang w:val="en" w:eastAsia="it-IT"/>
        </w:rPr>
        <w:t xml:space="preserve">used </w:t>
      </w:r>
      <w:r w:rsidR="003E694C" w:rsidRPr="008B4692">
        <w:rPr>
          <w:rFonts w:ascii="Times New Roman" w:eastAsia="Times New Roman" w:hAnsi="Times New Roman" w:cs="Times New Roman"/>
          <w:sz w:val="24"/>
          <w:szCs w:val="24"/>
          <w:lang w:val="en" w:eastAsia="it-IT"/>
        </w:rPr>
        <w:t xml:space="preserve">as “auxiliary information” </w:t>
      </w:r>
      <w:r w:rsidR="002C33D3" w:rsidRPr="008B4692">
        <w:rPr>
          <w:rFonts w:ascii="Times New Roman" w:eastAsia="Times New Roman" w:hAnsi="Times New Roman" w:cs="Times New Roman"/>
          <w:sz w:val="24"/>
          <w:szCs w:val="24"/>
          <w:lang w:val="en" w:eastAsia="it-IT"/>
        </w:rPr>
        <w:t>at the data estimation stage</w:t>
      </w:r>
      <w:r w:rsidR="003E694C" w:rsidRPr="008B4692">
        <w:rPr>
          <w:rFonts w:ascii="Times New Roman" w:eastAsia="Times New Roman" w:hAnsi="Times New Roman" w:cs="Times New Roman"/>
          <w:sz w:val="24"/>
          <w:szCs w:val="24"/>
          <w:lang w:val="en" w:eastAsia="it-IT"/>
        </w:rPr>
        <w:t xml:space="preserve">. A </w:t>
      </w:r>
      <w:r w:rsidR="00FD6174" w:rsidRPr="008B4692">
        <w:rPr>
          <w:rFonts w:ascii="Times New Roman" w:eastAsia="Times New Roman" w:hAnsi="Times New Roman" w:cs="Times New Roman"/>
          <w:sz w:val="24"/>
          <w:szCs w:val="24"/>
          <w:lang w:val="en" w:eastAsia="it-IT"/>
        </w:rPr>
        <w:t>specific</w:t>
      </w:r>
      <w:r w:rsidR="003E694C" w:rsidRPr="008B4692">
        <w:rPr>
          <w:rFonts w:ascii="Times New Roman" w:eastAsia="Times New Roman" w:hAnsi="Times New Roman" w:cs="Times New Roman"/>
          <w:sz w:val="24"/>
          <w:szCs w:val="24"/>
          <w:lang w:val="en" w:eastAsia="it-IT"/>
        </w:rPr>
        <w:t xml:space="preserve"> case </w:t>
      </w:r>
      <w:r w:rsidR="00FD6174" w:rsidRPr="008B4692">
        <w:rPr>
          <w:rFonts w:ascii="Times New Roman" w:eastAsia="Times New Roman" w:hAnsi="Times New Roman" w:cs="Times New Roman"/>
          <w:sz w:val="24"/>
          <w:szCs w:val="24"/>
          <w:lang w:val="en" w:eastAsia="it-IT"/>
        </w:rPr>
        <w:t>was</w:t>
      </w:r>
      <w:r w:rsidR="003E694C" w:rsidRPr="008B4692">
        <w:rPr>
          <w:rFonts w:ascii="Times New Roman" w:eastAsia="Times New Roman" w:hAnsi="Times New Roman" w:cs="Times New Roman"/>
          <w:sz w:val="24"/>
          <w:szCs w:val="24"/>
          <w:lang w:val="en" w:eastAsia="it-IT"/>
        </w:rPr>
        <w:t xml:space="preserve"> represented by </w:t>
      </w:r>
      <w:r w:rsidR="00EA70D5">
        <w:rPr>
          <w:rFonts w:ascii="Times New Roman" w:eastAsia="Times New Roman" w:hAnsi="Times New Roman" w:cs="Times New Roman"/>
          <w:sz w:val="24"/>
          <w:szCs w:val="24"/>
          <w:lang w:val="en" w:eastAsia="it-IT"/>
        </w:rPr>
        <w:t>variable</w:t>
      </w:r>
      <w:r w:rsidR="003E694C" w:rsidRPr="008B4692">
        <w:rPr>
          <w:rFonts w:ascii="Times New Roman" w:eastAsia="Times New Roman" w:hAnsi="Times New Roman" w:cs="Times New Roman"/>
          <w:sz w:val="24"/>
          <w:szCs w:val="24"/>
          <w:lang w:val="en" w:eastAsia="it-IT"/>
        </w:rPr>
        <w:t xml:space="preserve"> </w:t>
      </w:r>
      <w:r w:rsidR="003E694C" w:rsidRPr="008B4692">
        <w:rPr>
          <w:rFonts w:ascii="Times New Roman" w:eastAsia="Times New Roman" w:hAnsi="Times New Roman" w:cs="Times New Roman"/>
          <w:i/>
          <w:sz w:val="24"/>
          <w:szCs w:val="24"/>
          <w:lang w:val="en" w:eastAsia="it-IT"/>
        </w:rPr>
        <w:t>Personnel Cost</w:t>
      </w:r>
      <w:r w:rsidR="003E694C" w:rsidRPr="008B4692">
        <w:rPr>
          <w:rFonts w:ascii="Times New Roman" w:eastAsia="Times New Roman" w:hAnsi="Times New Roman" w:cs="Times New Roman"/>
          <w:sz w:val="24"/>
          <w:szCs w:val="24"/>
          <w:lang w:val="en" w:eastAsia="it-IT"/>
        </w:rPr>
        <w:t>, which is available from the S</w:t>
      </w:r>
      <w:r w:rsidR="005A51AA">
        <w:rPr>
          <w:rFonts w:ascii="Times New Roman" w:eastAsia="Times New Roman" w:hAnsi="Times New Roman" w:cs="Times New Roman"/>
          <w:sz w:val="24"/>
          <w:szCs w:val="24"/>
          <w:lang w:val="en" w:eastAsia="it-IT"/>
        </w:rPr>
        <w:t>S</w:t>
      </w:r>
      <w:r w:rsidR="003E694C" w:rsidRPr="008B4692">
        <w:rPr>
          <w:rFonts w:ascii="Times New Roman" w:eastAsia="Times New Roman" w:hAnsi="Times New Roman" w:cs="Times New Roman"/>
          <w:sz w:val="24"/>
          <w:szCs w:val="24"/>
          <w:lang w:val="en" w:eastAsia="it-IT"/>
        </w:rPr>
        <w:t xml:space="preserve">D: </w:t>
      </w:r>
      <w:r w:rsidR="00FD6174" w:rsidRPr="008B4692">
        <w:rPr>
          <w:rFonts w:ascii="Times New Roman" w:eastAsia="Times New Roman" w:hAnsi="Times New Roman" w:cs="Times New Roman"/>
          <w:sz w:val="24"/>
          <w:szCs w:val="24"/>
          <w:lang w:val="en" w:eastAsia="it-IT"/>
        </w:rPr>
        <w:t>this variable was</w:t>
      </w:r>
      <w:r w:rsidR="003E694C" w:rsidRPr="008B4692">
        <w:rPr>
          <w:rFonts w:ascii="Times New Roman" w:eastAsia="Times New Roman" w:hAnsi="Times New Roman" w:cs="Times New Roman"/>
          <w:sz w:val="24"/>
          <w:szCs w:val="24"/>
          <w:lang w:val="en" w:eastAsia="it-IT"/>
        </w:rPr>
        <w:t xml:space="preserve"> use</w:t>
      </w:r>
      <w:r w:rsidR="00FD6174" w:rsidRPr="008B4692">
        <w:rPr>
          <w:rFonts w:ascii="Times New Roman" w:eastAsia="Times New Roman" w:hAnsi="Times New Roman" w:cs="Times New Roman"/>
          <w:sz w:val="24"/>
          <w:szCs w:val="24"/>
          <w:lang w:val="en" w:eastAsia="it-IT"/>
        </w:rPr>
        <w:t>d</w:t>
      </w:r>
      <w:r w:rsidR="003E694C" w:rsidRPr="008B4692">
        <w:rPr>
          <w:rFonts w:ascii="Times New Roman" w:eastAsia="Times New Roman" w:hAnsi="Times New Roman" w:cs="Times New Roman"/>
          <w:sz w:val="24"/>
          <w:szCs w:val="24"/>
          <w:lang w:val="en" w:eastAsia="it-IT"/>
        </w:rPr>
        <w:t xml:space="preserve"> </w:t>
      </w:r>
      <w:r w:rsidR="00FD6174" w:rsidRPr="008B4692">
        <w:rPr>
          <w:rFonts w:ascii="Times New Roman" w:eastAsia="Times New Roman" w:hAnsi="Times New Roman" w:cs="Times New Roman"/>
          <w:sz w:val="24"/>
          <w:szCs w:val="24"/>
          <w:lang w:val="en" w:eastAsia="it-IT"/>
        </w:rPr>
        <w:t xml:space="preserve">as </w:t>
      </w:r>
      <w:r w:rsidR="003E694C" w:rsidRPr="008B4692">
        <w:rPr>
          <w:rFonts w:ascii="Times New Roman" w:eastAsia="Times New Roman" w:hAnsi="Times New Roman" w:cs="Times New Roman"/>
          <w:sz w:val="24"/>
          <w:szCs w:val="24"/>
          <w:lang w:val="en" w:eastAsia="it-IT"/>
        </w:rPr>
        <w:t xml:space="preserve">auxiliary information to “adjust” information on </w:t>
      </w:r>
      <w:r w:rsidR="003E694C" w:rsidRPr="008B4692">
        <w:rPr>
          <w:rFonts w:ascii="Times New Roman" w:eastAsia="Times New Roman" w:hAnsi="Times New Roman" w:cs="Times New Roman"/>
          <w:i/>
          <w:sz w:val="24"/>
          <w:szCs w:val="24"/>
          <w:lang w:val="en" w:eastAsia="it-IT"/>
        </w:rPr>
        <w:t>Personnel Cost</w:t>
      </w:r>
      <w:r w:rsidR="003E694C" w:rsidRPr="008B4692">
        <w:rPr>
          <w:rFonts w:ascii="Times New Roman" w:eastAsia="Times New Roman" w:hAnsi="Times New Roman" w:cs="Times New Roman"/>
          <w:sz w:val="24"/>
          <w:szCs w:val="24"/>
          <w:lang w:val="en" w:eastAsia="it-IT"/>
        </w:rPr>
        <w:t xml:space="preserve"> </w:t>
      </w:r>
      <w:r w:rsidR="00FD6174" w:rsidRPr="008B4692">
        <w:rPr>
          <w:rFonts w:ascii="Times New Roman" w:eastAsia="Times New Roman" w:hAnsi="Times New Roman" w:cs="Times New Roman"/>
          <w:sz w:val="24"/>
          <w:szCs w:val="24"/>
          <w:lang w:val="en" w:eastAsia="it-IT"/>
        </w:rPr>
        <w:t xml:space="preserve">drawn </w:t>
      </w:r>
      <w:r w:rsidR="003E694C" w:rsidRPr="008B4692">
        <w:rPr>
          <w:rFonts w:ascii="Times New Roman" w:eastAsia="Times New Roman" w:hAnsi="Times New Roman" w:cs="Times New Roman"/>
          <w:sz w:val="24"/>
          <w:szCs w:val="24"/>
          <w:lang w:val="en" w:eastAsia="it-IT"/>
        </w:rPr>
        <w:t xml:space="preserve">from the </w:t>
      </w:r>
      <w:r w:rsidR="00FD6174" w:rsidRPr="008B4692">
        <w:rPr>
          <w:rFonts w:ascii="Times New Roman" w:eastAsia="Times New Roman" w:hAnsi="Times New Roman" w:cs="Times New Roman"/>
          <w:sz w:val="24"/>
          <w:szCs w:val="24"/>
          <w:lang w:val="en" w:eastAsia="it-IT"/>
        </w:rPr>
        <w:t xml:space="preserve">other </w:t>
      </w:r>
      <w:r w:rsidR="003E694C" w:rsidRPr="008B4692">
        <w:rPr>
          <w:rFonts w:ascii="Times New Roman" w:eastAsia="Times New Roman" w:hAnsi="Times New Roman" w:cs="Times New Roman"/>
          <w:sz w:val="24"/>
          <w:szCs w:val="24"/>
          <w:lang w:val="en" w:eastAsia="it-IT"/>
        </w:rPr>
        <w:t>sources, to better approximate SBS definition</w:t>
      </w:r>
      <w:r w:rsidR="00EA70D5">
        <w:rPr>
          <w:rFonts w:ascii="Times New Roman" w:eastAsia="Times New Roman" w:hAnsi="Times New Roman" w:cs="Times New Roman"/>
          <w:sz w:val="24"/>
          <w:szCs w:val="24"/>
          <w:lang w:val="en" w:eastAsia="it-IT"/>
        </w:rPr>
        <w:t>s</w:t>
      </w:r>
      <w:r w:rsidR="003E694C" w:rsidRPr="008B4692">
        <w:rPr>
          <w:rFonts w:ascii="Times New Roman" w:eastAsia="Times New Roman" w:hAnsi="Times New Roman" w:cs="Times New Roman"/>
          <w:sz w:val="24"/>
          <w:szCs w:val="24"/>
          <w:lang w:val="en" w:eastAsia="it-IT"/>
        </w:rPr>
        <w:t>.</w:t>
      </w:r>
    </w:p>
    <w:p w:rsidR="003E694C" w:rsidRPr="008B4692" w:rsidRDefault="003E694C" w:rsidP="008D71FF">
      <w:pPr>
        <w:pStyle w:val="Default"/>
        <w:spacing w:line="360" w:lineRule="auto"/>
        <w:jc w:val="both"/>
        <w:rPr>
          <w:rFonts w:ascii="Times New Roman" w:eastAsia="Times New Roman" w:hAnsi="Times New Roman" w:cs="Times New Roman"/>
          <w:color w:val="auto"/>
          <w:lang w:val="en" w:eastAsia="it-IT"/>
        </w:rPr>
      </w:pPr>
      <w:r w:rsidRPr="008B4692">
        <w:rPr>
          <w:rFonts w:ascii="Times New Roman" w:eastAsia="Times New Roman" w:hAnsi="Times New Roman" w:cs="Times New Roman"/>
          <w:color w:val="auto"/>
          <w:lang w:val="en" w:eastAsia="it-IT"/>
        </w:rPr>
        <w:t xml:space="preserve">For the reference year 2011, the information framework determined by the units and variables coverage of (partially overlapping) sources is illustrated in Figure 1. </w:t>
      </w:r>
      <w:r w:rsidR="00FD4F38" w:rsidRPr="008B4692">
        <w:rPr>
          <w:rFonts w:ascii="Times New Roman" w:eastAsia="Times New Roman" w:hAnsi="Times New Roman" w:cs="Times New Roman"/>
          <w:color w:val="auto"/>
          <w:lang w:val="en" w:eastAsia="it-IT"/>
        </w:rPr>
        <w:t xml:space="preserve">As it can be seen, both BR and SSD provide information on the overall population: the </w:t>
      </w:r>
      <w:r w:rsidR="005E7A34" w:rsidRPr="008B4692">
        <w:rPr>
          <w:rFonts w:ascii="Times New Roman" w:eastAsia="Times New Roman" w:hAnsi="Times New Roman" w:cs="Times New Roman"/>
          <w:color w:val="auto"/>
          <w:lang w:val="en" w:eastAsia="it-IT"/>
        </w:rPr>
        <w:t>BR</w:t>
      </w:r>
      <w:r w:rsidR="00FD4F38" w:rsidRPr="008B4692">
        <w:rPr>
          <w:rFonts w:ascii="Times New Roman" w:eastAsia="Times New Roman" w:hAnsi="Times New Roman" w:cs="Times New Roman"/>
          <w:color w:val="auto"/>
          <w:lang w:val="en" w:eastAsia="it-IT"/>
        </w:rPr>
        <w:t xml:space="preserve"> contains enterprises’ structural information, </w:t>
      </w:r>
      <w:r w:rsidR="005E7A34" w:rsidRPr="008B4692">
        <w:rPr>
          <w:rFonts w:ascii="Times New Roman" w:eastAsia="Times New Roman" w:hAnsi="Times New Roman" w:cs="Times New Roman"/>
          <w:color w:val="auto"/>
          <w:lang w:val="en" w:eastAsia="it-IT"/>
        </w:rPr>
        <w:t>like</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Economic Activity</w:t>
      </w:r>
      <w:r w:rsidR="00FD4F38" w:rsidRPr="008B4692">
        <w:rPr>
          <w:rFonts w:ascii="Times New Roman" w:eastAsia="Times New Roman" w:hAnsi="Times New Roman" w:cs="Times New Roman"/>
          <w:color w:val="auto"/>
          <w:lang w:val="en" w:eastAsia="it-IT"/>
        </w:rPr>
        <w:t xml:space="preserve"> (</w:t>
      </w:r>
      <w:proofErr w:type="spellStart"/>
      <w:r w:rsidR="00FD4F38" w:rsidRPr="008B4692">
        <w:rPr>
          <w:rFonts w:ascii="Times New Roman" w:eastAsia="Times New Roman" w:hAnsi="Times New Roman" w:cs="Times New Roman"/>
          <w:i/>
          <w:color w:val="auto"/>
          <w:lang w:val="en" w:eastAsia="it-IT"/>
        </w:rPr>
        <w:t>Ateco</w:t>
      </w:r>
      <w:proofErr w:type="spellEnd"/>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Number of Employees</w:t>
      </w:r>
      <w:r w:rsidR="00FD4F38" w:rsidRPr="008B4692">
        <w:rPr>
          <w:rFonts w:ascii="Times New Roman" w:eastAsia="Times New Roman" w:hAnsi="Times New Roman" w:cs="Times New Roman"/>
          <w:color w:val="auto"/>
          <w:lang w:val="en" w:eastAsia="it-IT"/>
        </w:rPr>
        <w:t xml:space="preserve"> (</w:t>
      </w:r>
      <w:proofErr w:type="spellStart"/>
      <w:r w:rsidR="00FD4F38" w:rsidRPr="008B4692">
        <w:rPr>
          <w:rFonts w:ascii="Times New Roman" w:eastAsia="Times New Roman" w:hAnsi="Times New Roman" w:cs="Times New Roman"/>
          <w:i/>
          <w:color w:val="auto"/>
          <w:lang w:val="en" w:eastAsia="it-IT"/>
        </w:rPr>
        <w:t>NEmp</w:t>
      </w:r>
      <w:proofErr w:type="spellEnd"/>
      <w:r w:rsidR="00FD4F38" w:rsidRPr="008B4692">
        <w:rPr>
          <w:rFonts w:ascii="Times New Roman" w:eastAsia="Times New Roman" w:hAnsi="Times New Roman" w:cs="Times New Roman"/>
          <w:color w:val="auto"/>
          <w:lang w:val="en" w:eastAsia="it-IT"/>
        </w:rPr>
        <w:t xml:space="preserve">), and a proxy of </w:t>
      </w:r>
      <w:r w:rsidR="00FD4F38" w:rsidRPr="008B4692">
        <w:rPr>
          <w:rFonts w:ascii="Times New Roman" w:eastAsia="Times New Roman" w:hAnsi="Times New Roman" w:cs="Times New Roman"/>
          <w:i/>
          <w:color w:val="auto"/>
          <w:lang w:val="en" w:eastAsia="it-IT"/>
        </w:rPr>
        <w:t>Turnover</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TBR</w:t>
      </w:r>
      <w:r w:rsidR="00FD4F38" w:rsidRPr="008B4692">
        <w:rPr>
          <w:rFonts w:ascii="Times New Roman" w:eastAsia="Times New Roman" w:hAnsi="Times New Roman" w:cs="Times New Roman"/>
          <w:color w:val="auto"/>
          <w:lang w:val="en" w:eastAsia="it-IT"/>
        </w:rPr>
        <w:t xml:space="preserve">), while SSD </w:t>
      </w:r>
      <w:r w:rsidR="00C43E50" w:rsidRPr="008B4692">
        <w:rPr>
          <w:rFonts w:ascii="Times New Roman" w:eastAsia="Times New Roman" w:hAnsi="Times New Roman" w:cs="Times New Roman"/>
          <w:color w:val="auto"/>
          <w:lang w:val="en" w:eastAsia="it-IT"/>
        </w:rPr>
        <w:t xml:space="preserve">provides </w:t>
      </w:r>
      <w:r w:rsidR="00FD4F38" w:rsidRPr="008B4692">
        <w:rPr>
          <w:rFonts w:ascii="Times New Roman" w:eastAsia="Times New Roman" w:hAnsi="Times New Roman" w:cs="Times New Roman"/>
          <w:color w:val="auto"/>
          <w:lang w:val="en" w:eastAsia="it-IT"/>
        </w:rPr>
        <w:t xml:space="preserve">data on </w:t>
      </w:r>
      <w:proofErr w:type="spellStart"/>
      <w:r w:rsidR="00FD4F38" w:rsidRPr="008B4692">
        <w:rPr>
          <w:rFonts w:ascii="Times New Roman" w:eastAsia="Times New Roman" w:hAnsi="Times New Roman" w:cs="Times New Roman"/>
          <w:i/>
          <w:color w:val="auto"/>
          <w:lang w:val="en" w:eastAsia="it-IT"/>
        </w:rPr>
        <w:t>NEmp</w:t>
      </w:r>
      <w:proofErr w:type="spellEnd"/>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Personnel Cost</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PC</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Wages and Salaries</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WS</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Worked Hours</w:t>
      </w:r>
      <w:r w:rsidR="00FD4F38" w:rsidRPr="008B4692">
        <w:rPr>
          <w:rFonts w:ascii="Times New Roman" w:eastAsia="Times New Roman" w:hAnsi="Times New Roman" w:cs="Times New Roman"/>
          <w:color w:val="auto"/>
          <w:lang w:val="en" w:eastAsia="it-IT"/>
        </w:rPr>
        <w:t xml:space="preserve"> (WH) and </w:t>
      </w:r>
      <w:r w:rsidR="00FD4F38" w:rsidRPr="008B4692">
        <w:rPr>
          <w:rFonts w:ascii="Times New Roman" w:eastAsia="Times New Roman" w:hAnsi="Times New Roman" w:cs="Times New Roman"/>
          <w:i/>
          <w:color w:val="auto"/>
          <w:lang w:val="en" w:eastAsia="it-IT"/>
        </w:rPr>
        <w:t>Social Contributions</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SC</w:t>
      </w:r>
      <w:r w:rsidR="00FD4F38" w:rsidRPr="008B4692">
        <w:rPr>
          <w:rFonts w:ascii="Times New Roman" w:eastAsia="Times New Roman" w:hAnsi="Times New Roman" w:cs="Times New Roman"/>
          <w:color w:val="auto"/>
          <w:lang w:val="en" w:eastAsia="it-IT"/>
        </w:rPr>
        <w:t xml:space="preserve">) for </w:t>
      </w:r>
      <w:r w:rsidR="00C43E50" w:rsidRPr="008B4692">
        <w:rPr>
          <w:rFonts w:ascii="Times New Roman" w:eastAsia="Times New Roman" w:hAnsi="Times New Roman" w:cs="Times New Roman"/>
          <w:color w:val="auto"/>
          <w:lang w:val="en" w:eastAsia="it-IT"/>
        </w:rPr>
        <w:t xml:space="preserve">all </w:t>
      </w:r>
      <w:r w:rsidR="00FD4F38" w:rsidRPr="008B4692">
        <w:rPr>
          <w:rFonts w:ascii="Times New Roman" w:eastAsia="Times New Roman" w:hAnsi="Times New Roman" w:cs="Times New Roman"/>
          <w:color w:val="auto"/>
          <w:lang w:val="en" w:eastAsia="it-IT"/>
        </w:rPr>
        <w:t xml:space="preserve">the enterprises with at least one employee: as said above, </w:t>
      </w:r>
      <w:r w:rsidR="00FD4F38" w:rsidRPr="008B4692">
        <w:rPr>
          <w:rFonts w:ascii="Times New Roman" w:eastAsia="Times New Roman" w:hAnsi="Times New Roman" w:cs="Times New Roman"/>
          <w:i/>
          <w:color w:val="auto"/>
          <w:lang w:val="en" w:eastAsia="it-IT"/>
        </w:rPr>
        <w:t>PC</w:t>
      </w:r>
      <w:r w:rsidR="00FD4F38" w:rsidRPr="008B4692">
        <w:rPr>
          <w:rFonts w:ascii="Times New Roman" w:eastAsia="Times New Roman" w:hAnsi="Times New Roman" w:cs="Times New Roman"/>
          <w:color w:val="auto"/>
          <w:lang w:val="en" w:eastAsia="it-IT"/>
        </w:rPr>
        <w:t xml:space="preserve"> serves as auxiliary information in the harmonization phase, while </w:t>
      </w:r>
      <w:r w:rsidR="00FD4F38" w:rsidRPr="008B4692">
        <w:rPr>
          <w:rFonts w:ascii="Times New Roman" w:eastAsia="Times New Roman" w:hAnsi="Times New Roman" w:cs="Times New Roman"/>
          <w:i/>
          <w:color w:val="auto"/>
          <w:lang w:val="en" w:eastAsia="it-IT"/>
        </w:rPr>
        <w:t>WS</w:t>
      </w:r>
      <w:r w:rsidR="00FD4F38" w:rsidRPr="008B4692">
        <w:rPr>
          <w:rFonts w:ascii="Times New Roman" w:eastAsia="Times New Roman" w:hAnsi="Times New Roman" w:cs="Times New Roman"/>
          <w:color w:val="auto"/>
          <w:lang w:val="en" w:eastAsia="it-IT"/>
        </w:rPr>
        <w:t xml:space="preserve">, </w:t>
      </w:r>
      <w:r w:rsidR="00FD4F38" w:rsidRPr="008B4692">
        <w:rPr>
          <w:rFonts w:ascii="Times New Roman" w:eastAsia="Times New Roman" w:hAnsi="Times New Roman" w:cs="Times New Roman"/>
          <w:i/>
          <w:color w:val="auto"/>
          <w:lang w:val="en" w:eastAsia="it-IT"/>
        </w:rPr>
        <w:t>WH</w:t>
      </w:r>
      <w:r w:rsidR="00FD4F38" w:rsidRPr="008B4692">
        <w:rPr>
          <w:rFonts w:ascii="Times New Roman" w:eastAsia="Times New Roman" w:hAnsi="Times New Roman" w:cs="Times New Roman"/>
          <w:color w:val="auto"/>
          <w:lang w:val="en" w:eastAsia="it-IT"/>
        </w:rPr>
        <w:t xml:space="preserve"> and </w:t>
      </w:r>
      <w:r w:rsidR="00FD4F38" w:rsidRPr="008B4692">
        <w:rPr>
          <w:rFonts w:ascii="Times New Roman" w:eastAsia="Times New Roman" w:hAnsi="Times New Roman" w:cs="Times New Roman"/>
          <w:i/>
          <w:color w:val="auto"/>
          <w:lang w:val="en" w:eastAsia="it-IT"/>
        </w:rPr>
        <w:t>SC</w:t>
      </w:r>
      <w:r w:rsidR="00FD4F38" w:rsidRPr="008B4692">
        <w:rPr>
          <w:rFonts w:ascii="Times New Roman" w:eastAsia="Times New Roman" w:hAnsi="Times New Roman" w:cs="Times New Roman"/>
          <w:color w:val="auto"/>
          <w:lang w:val="en" w:eastAsia="it-IT"/>
        </w:rPr>
        <w:t xml:space="preserve"> are directly used in the estimation process (see section 4).</w:t>
      </w:r>
    </w:p>
    <w:p w:rsidR="00073E81" w:rsidRPr="00073E81" w:rsidRDefault="00073E81" w:rsidP="00310380">
      <w:pPr>
        <w:numPr>
          <w:ilvl w:val="0"/>
          <w:numId w:val="7"/>
        </w:numPr>
        <w:tabs>
          <w:tab w:val="left" w:pos="426"/>
        </w:tabs>
        <w:spacing w:before="360" w:after="0" w:line="240" w:lineRule="auto"/>
        <w:ind w:left="0" w:firstLine="0"/>
        <w:rPr>
          <w:rFonts w:ascii="Times New Roman" w:eastAsia="Times New Roman" w:hAnsi="Times New Roman" w:cs="Times New Roman"/>
          <w:b/>
          <w:sz w:val="24"/>
          <w:szCs w:val="24"/>
          <w:lang w:val="en-CA" w:eastAsia="en-CA"/>
        </w:rPr>
      </w:pPr>
      <w:r w:rsidRPr="00073E81">
        <w:rPr>
          <w:rFonts w:ascii="Times New Roman" w:eastAsia="Times New Roman" w:hAnsi="Times New Roman" w:cs="Times New Roman"/>
          <w:b/>
          <w:sz w:val="24"/>
          <w:szCs w:val="24"/>
          <w:lang w:val="en-CA" w:eastAsia="en-CA"/>
        </w:rPr>
        <w:t>Quality evaluation and variables selection</w:t>
      </w:r>
    </w:p>
    <w:p w:rsidR="00073E81" w:rsidRPr="008D71FF" w:rsidRDefault="00073E81" w:rsidP="00F355DA">
      <w:pPr>
        <w:pStyle w:val="Default"/>
        <w:spacing w:before="240" w:line="360" w:lineRule="auto"/>
        <w:jc w:val="both"/>
        <w:rPr>
          <w:rFonts w:ascii="Times New Roman" w:eastAsia="Times New Roman" w:hAnsi="Times New Roman" w:cs="Times New Roman"/>
          <w:color w:val="auto"/>
          <w:lang w:val="en" w:eastAsia="it-IT"/>
        </w:rPr>
      </w:pPr>
      <w:r w:rsidRPr="00073E81">
        <w:rPr>
          <w:rFonts w:ascii="Times New Roman" w:hAnsi="Times New Roman" w:cs="Times New Roman"/>
          <w:lang w:val="en-US"/>
        </w:rPr>
        <w:t xml:space="preserve">Let </w:t>
      </w:r>
      <w:proofErr w:type="spellStart"/>
      <w:r w:rsidRPr="00073E81">
        <w:rPr>
          <w:rFonts w:ascii="Times New Roman" w:hAnsi="Times New Roman" w:cs="Times New Roman"/>
          <w:lang w:val="en-US"/>
        </w:rPr>
        <w:t>Y</w:t>
      </w:r>
      <w:r w:rsidRPr="00073E81">
        <w:rPr>
          <w:rFonts w:ascii="Times New Roman" w:hAnsi="Times New Roman" w:cs="Times New Roman"/>
          <w:i/>
          <w:vertAlign w:val="subscript"/>
          <w:lang w:val="en-US"/>
        </w:rPr>
        <w:t>p</w:t>
      </w:r>
      <w:proofErr w:type="spellEnd"/>
      <w:r w:rsidRPr="00073E81">
        <w:rPr>
          <w:rFonts w:ascii="Times New Roman" w:hAnsi="Times New Roman" w:cs="Times New Roman"/>
          <w:i/>
          <w:vertAlign w:val="superscript"/>
          <w:lang w:val="en-US"/>
        </w:rPr>
        <w:t>*</w:t>
      </w:r>
      <w:r w:rsidRPr="00073E81">
        <w:rPr>
          <w:rFonts w:ascii="Times New Roman" w:hAnsi="Times New Roman" w:cs="Times New Roman"/>
          <w:lang w:val="en-US"/>
        </w:rPr>
        <w:t xml:space="preserve"> be the </w:t>
      </w:r>
      <w:r w:rsidR="000562C8">
        <w:rPr>
          <w:rFonts w:ascii="Times New Roman" w:hAnsi="Times New Roman" w:cs="Times New Roman"/>
          <w:lang w:val="en-US"/>
        </w:rPr>
        <w:t xml:space="preserve">subset of </w:t>
      </w:r>
      <w:r w:rsidRPr="00073E81">
        <w:rPr>
          <w:rFonts w:ascii="Times New Roman" w:hAnsi="Times New Roman" w:cs="Times New Roman"/>
          <w:lang w:val="en-US"/>
        </w:rPr>
        <w:t xml:space="preserve">target </w:t>
      </w:r>
      <w:r w:rsidR="000562C8">
        <w:rPr>
          <w:rFonts w:ascii="Times New Roman" w:hAnsi="Times New Roman" w:cs="Times New Roman"/>
          <w:lang w:val="en-US"/>
        </w:rPr>
        <w:t xml:space="preserve">variable which can be potentially estimated by directly using AD. </w:t>
      </w:r>
      <w:r w:rsidRPr="00073E81">
        <w:rPr>
          <w:rFonts w:ascii="Times New Roman" w:hAnsi="Times New Roman" w:cs="Times New Roman"/>
          <w:lang w:val="en-US"/>
        </w:rPr>
        <w:t xml:space="preserve">All the </w:t>
      </w:r>
      <w:r w:rsidRPr="00073E81">
        <w:rPr>
          <w:rFonts w:ascii="Times New Roman" w:hAnsi="Times New Roman" w:cs="Times New Roman"/>
          <w:i/>
          <w:lang w:val="en-US"/>
        </w:rPr>
        <w:t xml:space="preserve">p </w:t>
      </w:r>
      <w:r w:rsidRPr="00073E81">
        <w:rPr>
          <w:rFonts w:ascii="Times New Roman" w:hAnsi="Times New Roman" w:cs="Times New Roman"/>
          <w:lang w:val="en-US"/>
        </w:rPr>
        <w:t xml:space="preserve">variables could be estimated based on the </w:t>
      </w:r>
      <w:r w:rsidR="000562C8" w:rsidRPr="00073E81">
        <w:rPr>
          <w:rFonts w:ascii="Times New Roman" w:hAnsi="Times New Roman" w:cs="Times New Roman"/>
          <w:lang w:val="en-US"/>
        </w:rPr>
        <w:t xml:space="preserve">survey </w:t>
      </w:r>
      <w:r w:rsidRPr="00073E81">
        <w:rPr>
          <w:rFonts w:ascii="Times New Roman" w:hAnsi="Times New Roman" w:cs="Times New Roman"/>
          <w:lang w:val="en-US"/>
        </w:rPr>
        <w:t xml:space="preserve">data: let </w:t>
      </w:r>
      <w:proofErr w:type="spellStart"/>
      <w:r w:rsidRPr="00073E81">
        <w:rPr>
          <w:rFonts w:ascii="Times New Roman" w:hAnsi="Times New Roman" w:cs="Times New Roman"/>
          <w:lang w:val="en-US"/>
        </w:rPr>
        <w:t>Y</w:t>
      </w:r>
      <w:r w:rsidRPr="00073E81">
        <w:rPr>
          <w:rFonts w:ascii="Times New Roman" w:hAnsi="Times New Roman" w:cs="Times New Roman"/>
          <w:vertAlign w:val="subscript"/>
          <w:lang w:val="en-US"/>
        </w:rPr>
        <w:t>j</w:t>
      </w:r>
      <w:r w:rsidRPr="00FD0F1A">
        <w:rPr>
          <w:rFonts w:ascii="Times New Roman" w:hAnsi="Times New Roman" w:cs="Times New Roman"/>
          <w:sz w:val="22"/>
          <w:szCs w:val="22"/>
          <w:vertAlign w:val="superscript"/>
          <w:lang w:val="en-US"/>
        </w:rPr>
        <w:t>S</w:t>
      </w:r>
      <w:proofErr w:type="spellEnd"/>
      <w:r w:rsidRPr="00073E81">
        <w:rPr>
          <w:rFonts w:ascii="Times New Roman" w:hAnsi="Times New Roman" w:cs="Times New Roman"/>
          <w:lang w:val="en-US"/>
        </w:rPr>
        <w:t xml:space="preserve"> (</w:t>
      </w:r>
      <w:r w:rsidRPr="00073E81">
        <w:rPr>
          <w:rFonts w:ascii="Times New Roman" w:hAnsi="Times New Roman" w:cs="Times New Roman"/>
          <w:i/>
          <w:lang w:val="en-US"/>
        </w:rPr>
        <w:t>j</w:t>
      </w:r>
      <w:r w:rsidRPr="00073E81">
        <w:rPr>
          <w:rFonts w:ascii="Times New Roman" w:hAnsi="Times New Roman" w:cs="Times New Roman"/>
          <w:lang w:val="en-US"/>
        </w:rPr>
        <w:t>=1,..,</w:t>
      </w:r>
      <w:r w:rsidRPr="00073E81">
        <w:rPr>
          <w:rFonts w:ascii="Times New Roman" w:hAnsi="Times New Roman" w:cs="Times New Roman"/>
          <w:i/>
          <w:lang w:val="en-US"/>
        </w:rPr>
        <w:t>p</w:t>
      </w:r>
      <w:r w:rsidRPr="00073E81">
        <w:rPr>
          <w:rFonts w:ascii="Times New Roman" w:hAnsi="Times New Roman" w:cs="Times New Roman"/>
          <w:lang w:val="en-US"/>
        </w:rPr>
        <w:t xml:space="preserve">) indicate the </w:t>
      </w:r>
      <w:r w:rsidR="000562C8">
        <w:rPr>
          <w:rFonts w:ascii="Times New Roman" w:hAnsi="Times New Roman" w:cs="Times New Roman"/>
          <w:lang w:val="en-US"/>
        </w:rPr>
        <w:t xml:space="preserve">survey </w:t>
      </w:r>
      <w:r w:rsidRPr="00073E81">
        <w:rPr>
          <w:rFonts w:ascii="Times New Roman" w:hAnsi="Times New Roman" w:cs="Times New Roman"/>
          <w:lang w:val="en-US"/>
        </w:rPr>
        <w:t xml:space="preserve">variables. </w:t>
      </w:r>
      <w:r w:rsidR="000562C8" w:rsidRPr="00073E81">
        <w:rPr>
          <w:rStyle w:val="hps"/>
          <w:rFonts w:ascii="Times New Roman" w:hAnsi="Times New Roman" w:cs="Times New Roman"/>
          <w:lang w:val="en"/>
        </w:rPr>
        <w:t>On the contrary</w:t>
      </w:r>
      <w:r w:rsidRPr="00073E81">
        <w:rPr>
          <w:rFonts w:ascii="Times New Roman" w:hAnsi="Times New Roman" w:cs="Times New Roman"/>
          <w:lang w:val="en-US"/>
        </w:rPr>
        <w:t>, the three sources contain</w:t>
      </w:r>
      <w:r w:rsidR="000562C8">
        <w:rPr>
          <w:rFonts w:ascii="Times New Roman" w:hAnsi="Times New Roman" w:cs="Times New Roman"/>
          <w:lang w:val="en-US"/>
        </w:rPr>
        <w:t xml:space="preserve"> useful</w:t>
      </w:r>
      <w:r w:rsidRPr="00073E81">
        <w:rPr>
          <w:rFonts w:ascii="Times New Roman" w:hAnsi="Times New Roman" w:cs="Times New Roman"/>
          <w:lang w:val="en-US"/>
        </w:rPr>
        <w:t xml:space="preserve"> information </w:t>
      </w:r>
      <w:r w:rsidR="000562C8">
        <w:rPr>
          <w:rFonts w:ascii="Times New Roman" w:hAnsi="Times New Roman" w:cs="Times New Roman"/>
          <w:lang w:val="en-US"/>
        </w:rPr>
        <w:t>only for (</w:t>
      </w:r>
      <w:r w:rsidRPr="00073E81">
        <w:rPr>
          <w:rFonts w:ascii="Times New Roman" w:hAnsi="Times New Roman" w:cs="Times New Roman"/>
          <w:lang w:val="en-US"/>
        </w:rPr>
        <w:t>different</w:t>
      </w:r>
      <w:r w:rsidR="000562C8">
        <w:rPr>
          <w:rFonts w:ascii="Times New Roman" w:hAnsi="Times New Roman" w:cs="Times New Roman"/>
          <w:lang w:val="en-US"/>
        </w:rPr>
        <w:t>)</w:t>
      </w:r>
      <w:r w:rsidRPr="00073E81">
        <w:rPr>
          <w:rFonts w:ascii="Times New Roman" w:hAnsi="Times New Roman" w:cs="Times New Roman"/>
          <w:lang w:val="en-US"/>
        </w:rPr>
        <w:t xml:space="preserve"> sub-sets of </w:t>
      </w:r>
      <w:proofErr w:type="spellStart"/>
      <w:r w:rsidRPr="00073E81">
        <w:rPr>
          <w:rFonts w:ascii="Times New Roman" w:hAnsi="Times New Roman" w:cs="Times New Roman"/>
          <w:lang w:val="en-US"/>
        </w:rPr>
        <w:t>Y</w:t>
      </w:r>
      <w:r w:rsidRPr="00073E81">
        <w:rPr>
          <w:rFonts w:ascii="Times New Roman" w:hAnsi="Times New Roman" w:cs="Times New Roman"/>
          <w:i/>
          <w:vertAlign w:val="subscript"/>
          <w:lang w:val="en-US"/>
        </w:rPr>
        <w:t>p</w:t>
      </w:r>
      <w:proofErr w:type="spellEnd"/>
      <w:r w:rsidRPr="00073E81">
        <w:rPr>
          <w:rFonts w:ascii="Times New Roman" w:hAnsi="Times New Roman" w:cs="Times New Roman"/>
          <w:i/>
          <w:vertAlign w:val="superscript"/>
          <w:lang w:val="en-US"/>
        </w:rPr>
        <w:t>*</w:t>
      </w:r>
      <w:r w:rsidRPr="00073E81">
        <w:rPr>
          <w:rFonts w:ascii="Times New Roman" w:hAnsi="Times New Roman" w:cs="Times New Roman"/>
          <w:lang w:val="en-US"/>
        </w:rPr>
        <w:t>: let (Y</w:t>
      </w:r>
      <w:r w:rsidRPr="00073E81">
        <w:rPr>
          <w:rFonts w:ascii="Times New Roman" w:hAnsi="Times New Roman" w:cs="Times New Roman"/>
          <w:vertAlign w:val="subscript"/>
          <w:lang w:val="en-US"/>
        </w:rPr>
        <w:t>1</w:t>
      </w:r>
      <w:r w:rsidRPr="00073E81">
        <w:rPr>
          <w:rFonts w:ascii="Times New Roman" w:hAnsi="Times New Roman" w:cs="Times New Roman"/>
          <w:vertAlign w:val="superscript"/>
          <w:lang w:val="en-US"/>
        </w:rPr>
        <w:t>i</w:t>
      </w:r>
      <w:r w:rsidRPr="00073E81">
        <w:rPr>
          <w:rFonts w:ascii="Times New Roman" w:hAnsi="Times New Roman" w:cs="Times New Roman"/>
          <w:lang w:val="en-US"/>
        </w:rPr>
        <w:t>,…,</w:t>
      </w:r>
      <w:proofErr w:type="spellStart"/>
      <w:r w:rsidRPr="00073E81">
        <w:rPr>
          <w:rFonts w:ascii="Times New Roman" w:hAnsi="Times New Roman" w:cs="Times New Roman"/>
          <w:lang w:val="en-US"/>
        </w:rPr>
        <w:t>Y</w:t>
      </w:r>
      <w:r w:rsidRPr="00073E81">
        <w:rPr>
          <w:rFonts w:ascii="Times New Roman" w:hAnsi="Times New Roman" w:cs="Times New Roman"/>
          <w:vertAlign w:val="subscript"/>
          <w:lang w:val="en-US"/>
        </w:rPr>
        <w:t>k</w:t>
      </w:r>
      <w:r w:rsidRPr="00073E81">
        <w:rPr>
          <w:rFonts w:ascii="Times New Roman" w:hAnsi="Times New Roman" w:cs="Times New Roman"/>
          <w:vertAlign w:val="superscript"/>
          <w:lang w:val="en-US"/>
        </w:rPr>
        <w:t>i</w:t>
      </w:r>
      <w:proofErr w:type="spellEnd"/>
      <w:r w:rsidRPr="00073E81">
        <w:rPr>
          <w:rFonts w:ascii="Times New Roman" w:hAnsi="Times New Roman" w:cs="Times New Roman"/>
          <w:lang w:val="en-US"/>
        </w:rPr>
        <w:t xml:space="preserve">) indicate </w:t>
      </w:r>
      <w:r w:rsidR="000562C8">
        <w:rPr>
          <w:rFonts w:ascii="Times New Roman" w:hAnsi="Times New Roman" w:cs="Times New Roman"/>
          <w:lang w:val="en-US"/>
        </w:rPr>
        <w:t xml:space="preserve">the </w:t>
      </w:r>
      <w:r w:rsidRPr="00073E81">
        <w:rPr>
          <w:rFonts w:ascii="Times New Roman" w:hAnsi="Times New Roman" w:cs="Times New Roman"/>
          <w:lang w:val="en-US"/>
        </w:rPr>
        <w:t xml:space="preserve">variables </w:t>
      </w:r>
      <w:r w:rsidR="00902B88">
        <w:rPr>
          <w:rFonts w:ascii="Times New Roman" w:hAnsi="Times New Roman" w:cs="Times New Roman"/>
          <w:lang w:val="en-US"/>
        </w:rPr>
        <w:t xml:space="preserve">which could be estimated by using </w:t>
      </w:r>
      <w:r w:rsidRPr="00073E81">
        <w:rPr>
          <w:rFonts w:ascii="Times New Roman" w:hAnsi="Times New Roman" w:cs="Times New Roman"/>
          <w:lang w:val="en-US"/>
        </w:rPr>
        <w:t xml:space="preserve">source </w:t>
      </w:r>
      <w:r w:rsidRPr="00073E81">
        <w:rPr>
          <w:rFonts w:ascii="Times New Roman" w:hAnsi="Times New Roman" w:cs="Times New Roman"/>
          <w:i/>
          <w:lang w:val="en-US"/>
        </w:rPr>
        <w:t>i</w:t>
      </w:r>
      <w:r w:rsidRPr="00073E81">
        <w:rPr>
          <w:rFonts w:ascii="Times New Roman" w:hAnsi="Times New Roman" w:cs="Times New Roman"/>
          <w:lang w:val="en-US"/>
        </w:rPr>
        <w:t xml:space="preserve">, where </w:t>
      </w:r>
      <w:proofErr w:type="spellStart"/>
      <w:r w:rsidRPr="00073E81">
        <w:rPr>
          <w:rFonts w:ascii="Times New Roman" w:hAnsi="Times New Roman" w:cs="Times New Roman"/>
          <w:lang w:val="en-US"/>
        </w:rPr>
        <w:t>Y</w:t>
      </w:r>
      <w:r w:rsidRPr="00073E81">
        <w:rPr>
          <w:rFonts w:ascii="Times New Roman" w:hAnsi="Times New Roman" w:cs="Times New Roman"/>
          <w:i/>
          <w:vertAlign w:val="subscript"/>
          <w:lang w:val="en-US"/>
        </w:rPr>
        <w:t>k</w:t>
      </w:r>
      <w:r w:rsidRPr="00073E81">
        <w:rPr>
          <w:rFonts w:ascii="Times New Roman" w:hAnsi="Times New Roman" w:cs="Times New Roman"/>
          <w:i/>
          <w:vertAlign w:val="superscript"/>
          <w:lang w:val="en-US"/>
        </w:rPr>
        <w:t>i</w:t>
      </w:r>
      <w:proofErr w:type="spellEnd"/>
      <w:r w:rsidRPr="00073E81">
        <w:rPr>
          <w:rFonts w:ascii="Times New Roman" w:hAnsi="Times New Roman" w:cs="Times New Roman"/>
          <w:lang w:val="en-US"/>
        </w:rPr>
        <w:sym w:font="Symbol" w:char="F0CC"/>
      </w:r>
      <w:r w:rsidRPr="00073E81">
        <w:rPr>
          <w:rFonts w:ascii="Times New Roman" w:hAnsi="Times New Roman" w:cs="Times New Roman"/>
          <w:lang w:val="en-US"/>
        </w:rPr>
        <w:t xml:space="preserve"> </w:t>
      </w:r>
      <w:proofErr w:type="spellStart"/>
      <w:r w:rsidRPr="00073E81">
        <w:rPr>
          <w:rFonts w:ascii="Times New Roman" w:hAnsi="Times New Roman" w:cs="Times New Roman"/>
          <w:lang w:val="en-US"/>
        </w:rPr>
        <w:t>Y</w:t>
      </w:r>
      <w:r w:rsidRPr="00073E81">
        <w:rPr>
          <w:rFonts w:ascii="Times New Roman" w:hAnsi="Times New Roman" w:cs="Times New Roman"/>
          <w:i/>
          <w:vertAlign w:val="subscript"/>
          <w:lang w:val="en-US"/>
        </w:rPr>
        <w:t>p</w:t>
      </w:r>
      <w:proofErr w:type="spellEnd"/>
      <w:r w:rsidRPr="00073E81">
        <w:rPr>
          <w:rFonts w:ascii="Times New Roman" w:hAnsi="Times New Roman" w:cs="Times New Roman"/>
          <w:i/>
          <w:vertAlign w:val="superscript"/>
          <w:lang w:val="en-US"/>
        </w:rPr>
        <w:t xml:space="preserve">* </w:t>
      </w:r>
      <w:r w:rsidRPr="00073E81">
        <w:rPr>
          <w:rFonts w:ascii="Times New Roman" w:hAnsi="Times New Roman" w:cs="Times New Roman"/>
          <w:lang w:val="en-US"/>
        </w:rPr>
        <w:t xml:space="preserve">for each </w:t>
      </w:r>
      <w:r w:rsidRPr="00073E81">
        <w:rPr>
          <w:rFonts w:ascii="Times New Roman" w:hAnsi="Times New Roman" w:cs="Times New Roman"/>
          <w:i/>
          <w:lang w:val="en-US"/>
        </w:rPr>
        <w:t>i</w:t>
      </w:r>
      <w:r w:rsidRPr="00073E81">
        <w:rPr>
          <w:rFonts w:ascii="Times New Roman" w:hAnsi="Times New Roman" w:cs="Times New Roman"/>
          <w:lang w:val="en-US"/>
        </w:rPr>
        <w:t xml:space="preserve">=1,2,3. </w:t>
      </w:r>
      <w:r w:rsidRPr="008D71FF">
        <w:rPr>
          <w:rFonts w:ascii="Times New Roman" w:eastAsia="Times New Roman" w:hAnsi="Times New Roman" w:cs="Times New Roman"/>
          <w:color w:val="auto"/>
          <w:lang w:val="en" w:eastAsia="it-IT"/>
        </w:rPr>
        <w:t xml:space="preserve">However, the three sub-sets of variables are partly overlapping, as a number of key items </w:t>
      </w:r>
      <w:r w:rsidR="00902B88" w:rsidRPr="008D71FF">
        <w:rPr>
          <w:rFonts w:ascii="Times New Roman" w:eastAsia="Times New Roman" w:hAnsi="Times New Roman" w:cs="Times New Roman"/>
          <w:color w:val="auto"/>
          <w:lang w:val="en" w:eastAsia="it-IT"/>
        </w:rPr>
        <w:t>could be estim</w:t>
      </w:r>
      <w:r w:rsidR="008B4692" w:rsidRPr="008D71FF">
        <w:rPr>
          <w:rFonts w:ascii="Times New Roman" w:eastAsia="Times New Roman" w:hAnsi="Times New Roman" w:cs="Times New Roman"/>
          <w:color w:val="auto"/>
          <w:lang w:val="en" w:eastAsia="it-IT"/>
        </w:rPr>
        <w:t>ated from more than one source.</w:t>
      </w:r>
    </w:p>
    <w:p w:rsidR="008B4692" w:rsidRPr="00902B88" w:rsidRDefault="008B4692" w:rsidP="008B4692">
      <w:pPr>
        <w:pStyle w:val="Default"/>
        <w:spacing w:line="360" w:lineRule="auto"/>
        <w:jc w:val="both"/>
        <w:rPr>
          <w:rFonts w:ascii="Times New Roman" w:hAnsi="Times New Roman" w:cs="Times New Roman"/>
          <w:lang w:val="en-US"/>
        </w:rPr>
      </w:pPr>
      <w:r w:rsidRPr="00902B88">
        <w:rPr>
          <w:rFonts w:ascii="Times New Roman" w:hAnsi="Times New Roman" w:cs="Times New Roman"/>
          <w:lang w:val="en-US"/>
        </w:rPr>
        <w:t xml:space="preserve">For the above reasons, </w:t>
      </w:r>
      <w:r>
        <w:rPr>
          <w:rFonts w:ascii="Times New Roman" w:hAnsi="Times New Roman" w:cs="Times New Roman"/>
          <w:lang w:val="en-US"/>
        </w:rPr>
        <w:t xml:space="preserve">it was necessary to </w:t>
      </w:r>
      <w:r w:rsidRPr="00902B88">
        <w:rPr>
          <w:rFonts w:ascii="Times New Roman" w:hAnsi="Times New Roman" w:cs="Times New Roman"/>
          <w:lang w:val="en-US"/>
        </w:rPr>
        <w:t>evaluat</w:t>
      </w:r>
      <w:r>
        <w:rPr>
          <w:rFonts w:ascii="Times New Roman" w:hAnsi="Times New Roman" w:cs="Times New Roman"/>
          <w:lang w:val="en-US"/>
        </w:rPr>
        <w:t>e</w:t>
      </w:r>
      <w:r w:rsidRPr="00902B88">
        <w:rPr>
          <w:rFonts w:ascii="Times New Roman" w:hAnsi="Times New Roman" w:cs="Times New Roman"/>
          <w:lang w:val="en-US"/>
        </w:rPr>
        <w:t xml:space="preserve"> the statistical adequacy </w:t>
      </w:r>
      <w:r>
        <w:rPr>
          <w:rFonts w:ascii="Times New Roman" w:hAnsi="Times New Roman" w:cs="Times New Roman"/>
          <w:lang w:val="en-US"/>
        </w:rPr>
        <w:t xml:space="preserve">of each </w:t>
      </w:r>
      <w:proofErr w:type="spellStart"/>
      <w:r w:rsidRPr="00902B88">
        <w:rPr>
          <w:rFonts w:ascii="Times New Roman" w:hAnsi="Times New Roman" w:cs="Times New Roman"/>
          <w:lang w:val="en-US"/>
        </w:rPr>
        <w:t>Y</w:t>
      </w:r>
      <w:r w:rsidRPr="00902B88">
        <w:rPr>
          <w:rFonts w:ascii="Times New Roman" w:hAnsi="Times New Roman" w:cs="Times New Roman"/>
          <w:i/>
          <w:vertAlign w:val="subscript"/>
          <w:lang w:val="en-US"/>
        </w:rPr>
        <w:t>j</w:t>
      </w:r>
      <w:r w:rsidRPr="00902B88">
        <w:rPr>
          <w:rFonts w:ascii="Times New Roman" w:hAnsi="Times New Roman" w:cs="Times New Roman"/>
          <w:i/>
          <w:vertAlign w:val="superscript"/>
          <w:lang w:val="en-US"/>
        </w:rPr>
        <w:t>i</w:t>
      </w:r>
      <w:proofErr w:type="spellEnd"/>
      <w:r w:rsidRPr="00902B88">
        <w:rPr>
          <w:rFonts w:ascii="Times New Roman" w:hAnsi="Times New Roman" w:cs="Times New Roman"/>
          <w:lang w:val="en-US"/>
        </w:rPr>
        <w:t xml:space="preserve"> </w:t>
      </w:r>
      <w:r>
        <w:rPr>
          <w:rFonts w:ascii="Times New Roman" w:hAnsi="Times New Roman" w:cs="Times New Roman"/>
          <w:lang w:val="en-US"/>
        </w:rPr>
        <w:t xml:space="preserve">for estimating </w:t>
      </w:r>
      <w:proofErr w:type="spellStart"/>
      <w:r w:rsidRPr="00902B88">
        <w:rPr>
          <w:rFonts w:ascii="Times New Roman" w:hAnsi="Times New Roman" w:cs="Times New Roman"/>
          <w:lang w:val="en-US"/>
        </w:rPr>
        <w:t>Y</w:t>
      </w:r>
      <w:r>
        <w:rPr>
          <w:rFonts w:ascii="Times New Roman" w:hAnsi="Times New Roman" w:cs="Times New Roman"/>
          <w:i/>
          <w:vertAlign w:val="subscript"/>
          <w:lang w:val="en-US"/>
        </w:rPr>
        <w:t>j</w:t>
      </w:r>
      <w:proofErr w:type="spellEnd"/>
      <w:r w:rsidRPr="00902B88">
        <w:rPr>
          <w:rFonts w:ascii="Times New Roman" w:hAnsi="Times New Roman" w:cs="Times New Roman"/>
          <w:i/>
          <w:vertAlign w:val="superscript"/>
          <w:lang w:val="en-US"/>
        </w:rPr>
        <w:t>*</w:t>
      </w:r>
      <w:r>
        <w:rPr>
          <w:rFonts w:ascii="Times New Roman" w:hAnsi="Times New Roman" w:cs="Times New Roman"/>
          <w:lang w:val="en-US"/>
        </w:rPr>
        <w:t xml:space="preserve">, thus </w:t>
      </w:r>
      <w:r w:rsidRPr="00073E81">
        <w:rPr>
          <w:rFonts w:ascii="Times New Roman" w:hAnsi="Times New Roman" w:cs="Times New Roman"/>
          <w:lang w:val="en-US"/>
        </w:rPr>
        <w:t>identify</w:t>
      </w:r>
      <w:r>
        <w:rPr>
          <w:rFonts w:ascii="Times New Roman" w:hAnsi="Times New Roman" w:cs="Times New Roman"/>
          <w:lang w:val="en-US"/>
        </w:rPr>
        <w:t>ing</w:t>
      </w:r>
      <w:r w:rsidRPr="00073E81">
        <w:rPr>
          <w:rFonts w:ascii="Times New Roman" w:hAnsi="Times New Roman" w:cs="Times New Roman"/>
          <w:lang w:val="en-US"/>
        </w:rPr>
        <w:t xml:space="preserve"> the “best source” for each</w:t>
      </w:r>
      <w:r>
        <w:rPr>
          <w:rFonts w:ascii="Times New Roman" w:hAnsi="Times New Roman" w:cs="Times New Roman"/>
          <w:lang w:val="en-US"/>
        </w:rPr>
        <w:t xml:space="preserve"> item</w:t>
      </w:r>
      <w:r w:rsidRPr="00902B88">
        <w:rPr>
          <w:rFonts w:ascii="Times New Roman" w:hAnsi="Times New Roman" w:cs="Times New Roman"/>
          <w:lang w:val="en-US"/>
        </w:rPr>
        <w:t xml:space="preserve"> </w:t>
      </w:r>
      <w:r>
        <w:rPr>
          <w:rFonts w:ascii="Times New Roman" w:hAnsi="Times New Roman" w:cs="Times New Roman"/>
          <w:lang w:val="en-US"/>
        </w:rPr>
        <w:t>and “priorit</w:t>
      </w:r>
      <w:r w:rsidR="005A51AA">
        <w:rPr>
          <w:rFonts w:ascii="Times New Roman" w:hAnsi="Times New Roman" w:cs="Times New Roman"/>
          <w:lang w:val="en-US"/>
        </w:rPr>
        <w:t>izing”</w:t>
      </w:r>
      <w:r>
        <w:rPr>
          <w:rFonts w:ascii="Times New Roman" w:hAnsi="Times New Roman" w:cs="Times New Roman"/>
          <w:lang w:val="en-US"/>
        </w:rPr>
        <w:t xml:space="preserve"> the sources in case of overlaps. </w:t>
      </w:r>
      <w:r w:rsidRPr="00902B88">
        <w:rPr>
          <w:rFonts w:ascii="Times New Roman" w:hAnsi="Times New Roman" w:cs="Times New Roman"/>
          <w:lang w:val="en-US"/>
        </w:rPr>
        <w:t xml:space="preserve">The </w:t>
      </w:r>
      <w:r>
        <w:rPr>
          <w:rFonts w:ascii="Times New Roman" w:hAnsi="Times New Roman" w:cs="Times New Roman"/>
          <w:lang w:val="en-US"/>
        </w:rPr>
        <w:t>evaluation wa</w:t>
      </w:r>
      <w:r w:rsidRPr="00902B88">
        <w:rPr>
          <w:rFonts w:ascii="Times New Roman" w:hAnsi="Times New Roman" w:cs="Times New Roman"/>
          <w:lang w:val="en-US"/>
        </w:rPr>
        <w:t xml:space="preserve">s based on the comparison between </w:t>
      </w:r>
      <w:r w:rsidR="005A51AA">
        <w:rPr>
          <w:rFonts w:ascii="Times New Roman" w:hAnsi="Times New Roman" w:cs="Times New Roman"/>
          <w:lang w:val="en-US"/>
        </w:rPr>
        <w:t>each</w:t>
      </w:r>
      <w:r w:rsidRPr="00902B88">
        <w:rPr>
          <w:rFonts w:ascii="Times New Roman" w:hAnsi="Times New Roman" w:cs="Times New Roman"/>
          <w:lang w:val="en-US"/>
        </w:rPr>
        <w:t xml:space="preserve"> </w:t>
      </w:r>
      <w:proofErr w:type="spellStart"/>
      <w:r w:rsidRPr="00902B88">
        <w:rPr>
          <w:rFonts w:ascii="Times New Roman" w:hAnsi="Times New Roman" w:cs="Times New Roman"/>
          <w:lang w:val="en-US"/>
        </w:rPr>
        <w:t>Y</w:t>
      </w:r>
      <w:r w:rsidRPr="00902B88">
        <w:rPr>
          <w:rFonts w:ascii="Times New Roman" w:hAnsi="Times New Roman" w:cs="Times New Roman"/>
          <w:i/>
          <w:vertAlign w:val="subscript"/>
          <w:lang w:val="en-US"/>
        </w:rPr>
        <w:t>j</w:t>
      </w:r>
      <w:r w:rsidRPr="00902B88">
        <w:rPr>
          <w:rFonts w:ascii="Times New Roman" w:hAnsi="Times New Roman" w:cs="Times New Roman"/>
          <w:i/>
          <w:vertAlign w:val="superscript"/>
          <w:lang w:val="en-US"/>
        </w:rPr>
        <w:t>i</w:t>
      </w:r>
      <w:proofErr w:type="spellEnd"/>
      <w:r w:rsidRPr="00902B88">
        <w:rPr>
          <w:rFonts w:ascii="Times New Roman" w:hAnsi="Times New Roman" w:cs="Times New Roman"/>
          <w:lang w:val="en-US"/>
        </w:rPr>
        <w:t xml:space="preserve"> and the corresponding </w:t>
      </w:r>
      <w:proofErr w:type="spellStart"/>
      <w:r w:rsidRPr="00902B88">
        <w:rPr>
          <w:rFonts w:ascii="Times New Roman" w:hAnsi="Times New Roman" w:cs="Times New Roman"/>
          <w:lang w:val="en-US"/>
        </w:rPr>
        <w:t>Y</w:t>
      </w:r>
      <w:r w:rsidRPr="00902B88">
        <w:rPr>
          <w:rFonts w:ascii="Times New Roman" w:hAnsi="Times New Roman" w:cs="Times New Roman"/>
          <w:vertAlign w:val="subscript"/>
          <w:lang w:val="en-US"/>
        </w:rPr>
        <w:t>j</w:t>
      </w:r>
      <w:r w:rsidRPr="00902B88">
        <w:rPr>
          <w:rFonts w:ascii="Times New Roman" w:hAnsi="Times New Roman" w:cs="Times New Roman"/>
          <w:vertAlign w:val="superscript"/>
          <w:lang w:val="en-US"/>
        </w:rPr>
        <w:t>S</w:t>
      </w:r>
      <w:proofErr w:type="spellEnd"/>
      <w:r w:rsidRPr="00902B88">
        <w:rPr>
          <w:rFonts w:ascii="Times New Roman" w:hAnsi="Times New Roman" w:cs="Times New Roman"/>
          <w:lang w:val="en-US"/>
        </w:rPr>
        <w:t xml:space="preserve"> on the common set of survey respondents</w:t>
      </w:r>
      <w:r>
        <w:rPr>
          <w:rFonts w:ascii="Times New Roman" w:hAnsi="Times New Roman" w:cs="Times New Roman"/>
          <w:lang w:val="en-US"/>
        </w:rPr>
        <w:t xml:space="preserve">, assuming </w:t>
      </w:r>
      <w:r w:rsidRPr="00902B88">
        <w:rPr>
          <w:rFonts w:ascii="Times New Roman" w:hAnsi="Times New Roman" w:cs="Times New Roman"/>
          <w:lang w:val="en-US"/>
        </w:rPr>
        <w:t xml:space="preserve">that survey values represent the best available measures of </w:t>
      </w:r>
      <w:proofErr w:type="spellStart"/>
      <w:r w:rsidRPr="00902B88">
        <w:rPr>
          <w:rFonts w:ascii="Times New Roman" w:hAnsi="Times New Roman" w:cs="Times New Roman"/>
          <w:lang w:val="en-US"/>
        </w:rPr>
        <w:t>Y</w:t>
      </w:r>
      <w:r w:rsidRPr="00902B88">
        <w:rPr>
          <w:rFonts w:ascii="Times New Roman" w:hAnsi="Times New Roman" w:cs="Times New Roman"/>
          <w:i/>
          <w:vertAlign w:val="subscript"/>
          <w:lang w:val="en-US"/>
        </w:rPr>
        <w:t>j</w:t>
      </w:r>
      <w:proofErr w:type="spellEnd"/>
      <w:r w:rsidRPr="00902B88">
        <w:rPr>
          <w:rFonts w:ascii="Times New Roman" w:hAnsi="Times New Roman" w:cs="Times New Roman"/>
          <w:i/>
          <w:vertAlign w:val="superscript"/>
          <w:lang w:val="en-US"/>
        </w:rPr>
        <w:t>*</w:t>
      </w:r>
      <w:r>
        <w:rPr>
          <w:rFonts w:ascii="Times New Roman" w:hAnsi="Times New Roman" w:cs="Times New Roman"/>
          <w:lang w:val="en-US"/>
        </w:rPr>
        <w:t xml:space="preserve"> as they are collected </w:t>
      </w:r>
      <w:r w:rsidRPr="00902B88">
        <w:rPr>
          <w:rFonts w:ascii="Times New Roman" w:hAnsi="Times New Roman" w:cs="Times New Roman"/>
          <w:lang w:val="en-US"/>
        </w:rPr>
        <w:t>based on the correct SBS definitions</w:t>
      </w:r>
      <w:r w:rsidR="00256FE7">
        <w:rPr>
          <w:rFonts w:ascii="Times New Roman" w:hAnsi="Times New Roman" w:cs="Times New Roman"/>
          <w:lang w:val="en-US"/>
        </w:rPr>
        <w:t xml:space="preserve"> </w:t>
      </w:r>
      <w:r w:rsidRPr="00902B88">
        <w:rPr>
          <w:rFonts w:ascii="Times New Roman" w:hAnsi="Times New Roman" w:cs="Times New Roman"/>
          <w:lang w:val="en-US"/>
        </w:rPr>
        <w:t>.</w:t>
      </w:r>
    </w:p>
    <w:p w:rsidR="003E694C" w:rsidRPr="00073E81" w:rsidRDefault="003E694C" w:rsidP="00073E81">
      <w:pPr>
        <w:pStyle w:val="Default"/>
        <w:spacing w:before="240" w:after="120"/>
        <w:jc w:val="both"/>
        <w:rPr>
          <w:rFonts w:ascii="Times New Roman" w:hAnsi="Times New Roman" w:cs="Times New Roman"/>
          <w:i/>
          <w:lang w:val="en-US"/>
        </w:rPr>
      </w:pPr>
      <w:r w:rsidRPr="00073E81">
        <w:rPr>
          <w:rFonts w:ascii="Times New Roman" w:hAnsi="Times New Roman" w:cs="Times New Roman"/>
          <w:i/>
          <w:lang w:val="en-US"/>
        </w:rPr>
        <w:lastRenderedPageBreak/>
        <w:t>Figure 1: Unit and variables coverage by source. Year 2011</w:t>
      </w:r>
    </w:p>
    <w:p w:rsidR="003E694C" w:rsidRDefault="00225876" w:rsidP="003E694C">
      <w:pPr>
        <w:pStyle w:val="Default"/>
        <w:jc w:val="both"/>
        <w:rPr>
          <w:sz w:val="22"/>
          <w:szCs w:val="22"/>
          <w:lang w:val="en-US"/>
        </w:rPr>
      </w:pPr>
      <w:r w:rsidRPr="00225876">
        <w:rPr>
          <w:noProof/>
          <w:lang w:eastAsia="it-IT"/>
        </w:rPr>
        <w:drawing>
          <wp:inline distT="0" distB="0" distL="0" distR="0" wp14:anchorId="68D4A650" wp14:editId="40FD439F">
            <wp:extent cx="4528108" cy="3681285"/>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236" cy="3682202"/>
                    </a:xfrm>
                    <a:prstGeom prst="rect">
                      <a:avLst/>
                    </a:prstGeom>
                    <a:noFill/>
                    <a:ln>
                      <a:noFill/>
                    </a:ln>
                  </pic:spPr>
                </pic:pic>
              </a:graphicData>
            </a:graphic>
          </wp:inline>
        </w:drawing>
      </w:r>
    </w:p>
    <w:p w:rsidR="003E694C" w:rsidRPr="00902B88" w:rsidRDefault="003E694C" w:rsidP="00902B88">
      <w:pPr>
        <w:pStyle w:val="Default"/>
        <w:spacing w:line="360" w:lineRule="auto"/>
        <w:jc w:val="both"/>
        <w:rPr>
          <w:rFonts w:ascii="Times New Roman" w:hAnsi="Times New Roman" w:cs="Times New Roman"/>
          <w:lang w:val="en-US"/>
        </w:rPr>
      </w:pPr>
    </w:p>
    <w:p w:rsidR="00256FE7" w:rsidRDefault="003E694C" w:rsidP="00256FE7">
      <w:pPr>
        <w:pStyle w:val="Default"/>
        <w:spacing w:line="360" w:lineRule="auto"/>
        <w:rPr>
          <w:rFonts w:ascii="Times New Roman" w:hAnsi="Times New Roman" w:cs="Times New Roman"/>
          <w:lang w:val="en-US"/>
        </w:rPr>
      </w:pPr>
      <w:r w:rsidRPr="00902B88">
        <w:rPr>
          <w:rFonts w:ascii="Times New Roman" w:hAnsi="Times New Roman" w:cs="Times New Roman"/>
          <w:lang w:val="en-US"/>
        </w:rPr>
        <w:t xml:space="preserve">Let </w:t>
      </w:r>
      <w:r w:rsidRPr="00902B88">
        <w:rPr>
          <w:rFonts w:ascii="Times New Roman" w:hAnsi="Times New Roman" w:cs="Times New Roman"/>
          <w:i/>
          <w:lang w:val="en-US"/>
        </w:rPr>
        <w:t>d</w:t>
      </w:r>
      <w:r w:rsidRPr="00902B88">
        <w:rPr>
          <w:rFonts w:ascii="Times New Roman" w:hAnsi="Times New Roman" w:cs="Times New Roman"/>
          <w:i/>
          <w:vertAlign w:val="subscript"/>
          <w:lang w:val="en-US"/>
        </w:rPr>
        <w:t>u</w:t>
      </w:r>
      <w:r w:rsidRPr="00902B88">
        <w:rPr>
          <w:rFonts w:ascii="Times New Roman" w:hAnsi="Times New Roman" w:cs="Times New Roman"/>
          <w:lang w:val="en-US"/>
        </w:rPr>
        <w:t>=(Y</w:t>
      </w:r>
      <w:r w:rsidRPr="00902B88">
        <w:rPr>
          <w:rFonts w:ascii="Times New Roman" w:hAnsi="Times New Roman" w:cs="Times New Roman"/>
          <w:i/>
          <w:vertAlign w:val="subscript"/>
          <w:lang w:val="en-US"/>
        </w:rPr>
        <w:t>uj</w:t>
      </w:r>
      <w:r w:rsidRPr="00902B88">
        <w:rPr>
          <w:rFonts w:ascii="Times New Roman" w:hAnsi="Times New Roman" w:cs="Times New Roman"/>
          <w:i/>
          <w:vertAlign w:val="superscript"/>
          <w:lang w:val="en-US"/>
        </w:rPr>
        <w:t>i</w:t>
      </w:r>
      <w:r w:rsidRPr="00902B88">
        <w:rPr>
          <w:rFonts w:ascii="Times New Roman" w:hAnsi="Times New Roman" w:cs="Times New Roman"/>
          <w:lang w:val="en-US"/>
        </w:rPr>
        <w:t xml:space="preserve"> – </w:t>
      </w:r>
      <w:proofErr w:type="spellStart"/>
      <w:r w:rsidRPr="00902B88">
        <w:rPr>
          <w:rFonts w:ascii="Times New Roman" w:hAnsi="Times New Roman" w:cs="Times New Roman"/>
          <w:lang w:val="en-US"/>
        </w:rPr>
        <w:t>Y</w:t>
      </w:r>
      <w:r w:rsidRPr="00902B88">
        <w:rPr>
          <w:rFonts w:ascii="Times New Roman" w:hAnsi="Times New Roman" w:cs="Times New Roman"/>
          <w:i/>
          <w:vertAlign w:val="subscript"/>
          <w:lang w:val="en-US"/>
        </w:rPr>
        <w:t>uj</w:t>
      </w:r>
      <w:r w:rsidRPr="00902B88">
        <w:rPr>
          <w:rFonts w:ascii="Times New Roman" w:hAnsi="Times New Roman" w:cs="Times New Roman"/>
          <w:vertAlign w:val="superscript"/>
          <w:lang w:val="en-US"/>
        </w:rPr>
        <w:t>S</w:t>
      </w:r>
      <w:proofErr w:type="spellEnd"/>
      <w:r w:rsidRPr="00902B88">
        <w:rPr>
          <w:rFonts w:ascii="Times New Roman" w:hAnsi="Times New Roman" w:cs="Times New Roman"/>
          <w:lang w:val="en-US"/>
        </w:rPr>
        <w:t>)/</w:t>
      </w:r>
      <w:proofErr w:type="spellStart"/>
      <w:r w:rsidRPr="00902B88">
        <w:rPr>
          <w:rFonts w:ascii="Times New Roman" w:hAnsi="Times New Roman" w:cs="Times New Roman"/>
          <w:lang w:val="en-US"/>
        </w:rPr>
        <w:t>Y</w:t>
      </w:r>
      <w:r w:rsidRPr="00902B88">
        <w:rPr>
          <w:rFonts w:ascii="Times New Roman" w:hAnsi="Times New Roman" w:cs="Times New Roman"/>
          <w:i/>
          <w:vertAlign w:val="subscript"/>
          <w:lang w:val="en-US"/>
        </w:rPr>
        <w:t>uj</w:t>
      </w:r>
      <w:r w:rsidRPr="00902B88">
        <w:rPr>
          <w:rFonts w:ascii="Times New Roman" w:hAnsi="Times New Roman" w:cs="Times New Roman"/>
          <w:vertAlign w:val="superscript"/>
          <w:lang w:val="en-US"/>
        </w:rPr>
        <w:t>S</w:t>
      </w:r>
      <w:proofErr w:type="spellEnd"/>
      <w:r w:rsidRPr="00902B88">
        <w:rPr>
          <w:rFonts w:ascii="Times New Roman" w:hAnsi="Times New Roman" w:cs="Times New Roman"/>
          <w:lang w:val="en-US"/>
        </w:rPr>
        <w:t xml:space="preserve"> be the </w:t>
      </w:r>
      <w:r w:rsidR="009911C5">
        <w:rPr>
          <w:rFonts w:ascii="Times New Roman" w:hAnsi="Times New Roman" w:cs="Times New Roman"/>
          <w:lang w:val="en-US"/>
        </w:rPr>
        <w:t>relative difference</w:t>
      </w:r>
      <w:r w:rsidRPr="00902B88">
        <w:rPr>
          <w:rFonts w:ascii="Times New Roman" w:hAnsi="Times New Roman" w:cs="Times New Roman"/>
          <w:lang w:val="en-US"/>
        </w:rPr>
        <w:t xml:space="preserve"> between variables</w:t>
      </w:r>
      <w:r w:rsidR="009911C5">
        <w:rPr>
          <w:rFonts w:ascii="Times New Roman" w:hAnsi="Times New Roman" w:cs="Times New Roman"/>
          <w:lang w:val="en-US"/>
        </w:rPr>
        <w:t>’ values</w:t>
      </w:r>
      <w:r w:rsidRPr="00902B88">
        <w:rPr>
          <w:rFonts w:ascii="Times New Roman" w:hAnsi="Times New Roman" w:cs="Times New Roman"/>
          <w:lang w:val="en-US"/>
        </w:rPr>
        <w:t xml:space="preserve"> </w:t>
      </w:r>
      <w:proofErr w:type="spellStart"/>
      <w:r w:rsidRPr="00902B88">
        <w:rPr>
          <w:rFonts w:ascii="Times New Roman" w:hAnsi="Times New Roman" w:cs="Times New Roman"/>
          <w:lang w:val="en-US"/>
        </w:rPr>
        <w:t>Y</w:t>
      </w:r>
      <w:r w:rsidRPr="00902B88">
        <w:rPr>
          <w:rFonts w:ascii="Times New Roman" w:hAnsi="Times New Roman" w:cs="Times New Roman"/>
          <w:i/>
          <w:vertAlign w:val="subscript"/>
          <w:lang w:val="en-US"/>
        </w:rPr>
        <w:t>j</w:t>
      </w:r>
      <w:r w:rsidRPr="00902B88">
        <w:rPr>
          <w:rFonts w:ascii="Times New Roman" w:hAnsi="Times New Roman" w:cs="Times New Roman"/>
          <w:i/>
          <w:vertAlign w:val="superscript"/>
          <w:lang w:val="en-US"/>
        </w:rPr>
        <w:t>i</w:t>
      </w:r>
      <w:proofErr w:type="spellEnd"/>
      <w:r w:rsidRPr="00902B88">
        <w:rPr>
          <w:rFonts w:ascii="Times New Roman" w:hAnsi="Times New Roman" w:cs="Times New Roman"/>
          <w:lang w:val="en-US"/>
        </w:rPr>
        <w:t xml:space="preserve"> and  </w:t>
      </w:r>
      <w:proofErr w:type="spellStart"/>
      <w:r w:rsidRPr="00902B88">
        <w:rPr>
          <w:rFonts w:ascii="Times New Roman" w:hAnsi="Times New Roman" w:cs="Times New Roman"/>
          <w:lang w:val="en-US"/>
        </w:rPr>
        <w:t>Y</w:t>
      </w:r>
      <w:r w:rsidRPr="00902B88">
        <w:rPr>
          <w:rFonts w:ascii="Times New Roman" w:hAnsi="Times New Roman" w:cs="Times New Roman"/>
          <w:i/>
          <w:vertAlign w:val="subscript"/>
          <w:lang w:val="en-US"/>
        </w:rPr>
        <w:t>j</w:t>
      </w:r>
      <w:r w:rsidRPr="00902B88">
        <w:rPr>
          <w:rFonts w:ascii="Times New Roman" w:hAnsi="Times New Roman" w:cs="Times New Roman"/>
          <w:vertAlign w:val="superscript"/>
          <w:lang w:val="en-US"/>
        </w:rPr>
        <w:t>S</w:t>
      </w:r>
      <w:proofErr w:type="spellEnd"/>
      <w:r w:rsidRPr="00902B88">
        <w:rPr>
          <w:rFonts w:ascii="Times New Roman" w:hAnsi="Times New Roman" w:cs="Times New Roman"/>
          <w:lang w:val="en-US"/>
        </w:rPr>
        <w:t xml:space="preserve"> in unit </w:t>
      </w:r>
      <w:r w:rsidRPr="00902B88">
        <w:rPr>
          <w:rFonts w:ascii="Times New Roman" w:hAnsi="Times New Roman" w:cs="Times New Roman"/>
          <w:i/>
          <w:lang w:val="en-US"/>
        </w:rPr>
        <w:t>u</w:t>
      </w:r>
      <w:r w:rsidRPr="00902B88">
        <w:rPr>
          <w:rFonts w:ascii="Times New Roman" w:hAnsi="Times New Roman" w:cs="Times New Roman"/>
          <w:lang w:val="en-US"/>
        </w:rPr>
        <w:t xml:space="preserve"> (</w:t>
      </w:r>
      <w:r w:rsidRPr="00902B88">
        <w:rPr>
          <w:rFonts w:ascii="Times New Roman" w:hAnsi="Times New Roman" w:cs="Times New Roman"/>
          <w:i/>
          <w:lang w:val="en-US"/>
        </w:rPr>
        <w:t xml:space="preserve">u=1,…, </w:t>
      </w:r>
      <w:proofErr w:type="spellStart"/>
      <w:r w:rsidRPr="00902B88">
        <w:rPr>
          <w:rFonts w:ascii="Times New Roman" w:hAnsi="Times New Roman" w:cs="Times New Roman"/>
          <w:i/>
          <w:lang w:val="en-US"/>
        </w:rPr>
        <w:t>n</w:t>
      </w:r>
      <w:r w:rsidRPr="00902B88">
        <w:rPr>
          <w:rFonts w:ascii="Times New Roman" w:hAnsi="Times New Roman" w:cs="Times New Roman"/>
          <w:i/>
          <w:vertAlign w:val="subscript"/>
          <w:lang w:val="en-US"/>
        </w:rPr>
        <w:t>ir</w:t>
      </w:r>
      <w:proofErr w:type="spellEnd"/>
      <w:r w:rsidRPr="00902B88">
        <w:rPr>
          <w:rFonts w:ascii="Times New Roman" w:hAnsi="Times New Roman" w:cs="Times New Roman"/>
          <w:lang w:val="en-US"/>
        </w:rPr>
        <w:t xml:space="preserve">; </w:t>
      </w:r>
      <w:proofErr w:type="spellStart"/>
      <w:r w:rsidRPr="00902B88">
        <w:rPr>
          <w:rFonts w:ascii="Times New Roman" w:hAnsi="Times New Roman" w:cs="Times New Roman"/>
          <w:i/>
          <w:lang w:val="en-US"/>
        </w:rPr>
        <w:t>n</w:t>
      </w:r>
      <w:r w:rsidRPr="00902B88">
        <w:rPr>
          <w:rFonts w:ascii="Times New Roman" w:hAnsi="Times New Roman" w:cs="Times New Roman"/>
          <w:i/>
          <w:vertAlign w:val="subscript"/>
          <w:lang w:val="en-US"/>
        </w:rPr>
        <w:t>ir</w:t>
      </w:r>
      <w:proofErr w:type="spellEnd"/>
      <w:r w:rsidRPr="00902B88">
        <w:rPr>
          <w:rFonts w:ascii="Times New Roman" w:hAnsi="Times New Roman" w:cs="Times New Roman"/>
          <w:lang w:val="en-US"/>
        </w:rPr>
        <w:t xml:space="preserve">=number of survey respondents in source </w:t>
      </w:r>
      <w:r w:rsidRPr="00902B88">
        <w:rPr>
          <w:rFonts w:ascii="Times New Roman" w:hAnsi="Times New Roman" w:cs="Times New Roman"/>
          <w:i/>
          <w:lang w:val="en-US"/>
        </w:rPr>
        <w:t>i</w:t>
      </w:r>
      <w:r w:rsidRPr="00902B88">
        <w:rPr>
          <w:rFonts w:ascii="Times New Roman" w:hAnsi="Times New Roman" w:cs="Times New Roman"/>
          <w:lang w:val="en-US"/>
        </w:rPr>
        <w:t xml:space="preserve">). </w:t>
      </w:r>
      <w:r w:rsidR="00902B88">
        <w:rPr>
          <w:rFonts w:ascii="Times New Roman" w:hAnsi="Times New Roman" w:cs="Times New Roman"/>
          <w:lang w:val="en-US"/>
        </w:rPr>
        <w:t>Q</w:t>
      </w:r>
      <w:r w:rsidRPr="00902B88">
        <w:rPr>
          <w:rFonts w:ascii="Times New Roman" w:hAnsi="Times New Roman" w:cs="Times New Roman"/>
          <w:lang w:val="en-US"/>
        </w:rPr>
        <w:t xml:space="preserve">uality indicators </w:t>
      </w:r>
      <w:r w:rsidR="00902B88">
        <w:rPr>
          <w:rFonts w:ascii="Times New Roman" w:hAnsi="Times New Roman" w:cs="Times New Roman"/>
          <w:lang w:val="en-US"/>
        </w:rPr>
        <w:t>include</w:t>
      </w:r>
      <w:r w:rsidRPr="00902B88">
        <w:rPr>
          <w:rFonts w:ascii="Times New Roman" w:hAnsi="Times New Roman" w:cs="Times New Roman"/>
          <w:lang w:val="en-US"/>
        </w:rPr>
        <w:t xml:space="preserve"> the rate of units having </w:t>
      </w:r>
      <w:r w:rsidRPr="00902B88">
        <w:rPr>
          <w:rFonts w:ascii="Times New Roman" w:hAnsi="Times New Roman" w:cs="Times New Roman"/>
          <w:i/>
          <w:lang w:val="en-US"/>
        </w:rPr>
        <w:t>d</w:t>
      </w:r>
      <w:r w:rsidRPr="00902B88">
        <w:rPr>
          <w:rFonts w:ascii="Times New Roman" w:hAnsi="Times New Roman" w:cs="Times New Roman"/>
          <w:i/>
          <w:vertAlign w:val="subscript"/>
          <w:lang w:val="en-US"/>
        </w:rPr>
        <w:t>u</w:t>
      </w:r>
      <w:r w:rsidRPr="00902B88">
        <w:rPr>
          <w:rFonts w:ascii="Times New Roman" w:hAnsi="Times New Roman" w:cs="Times New Roman"/>
          <w:lang w:val="en-US"/>
        </w:rPr>
        <w:t xml:space="preserve"> in the interval ±5%, the mean, the median and the interquartile value (IQR </w:t>
      </w:r>
      <w:r w:rsidRPr="00902B88">
        <w:rPr>
          <w:rFonts w:ascii="Times New Roman" w:hAnsi="Times New Roman" w:cs="Times New Roman"/>
          <w:i/>
          <w:lang w:val="en-US"/>
        </w:rPr>
        <w:t>d</w:t>
      </w:r>
      <w:r w:rsidRPr="00902B88">
        <w:rPr>
          <w:rFonts w:ascii="Times New Roman" w:hAnsi="Times New Roman" w:cs="Times New Roman"/>
          <w:i/>
          <w:vertAlign w:val="subscript"/>
          <w:lang w:val="en-US"/>
        </w:rPr>
        <w:t>u</w:t>
      </w:r>
      <w:r w:rsidRPr="00902B88">
        <w:rPr>
          <w:rFonts w:ascii="Times New Roman" w:hAnsi="Times New Roman" w:cs="Times New Roman"/>
          <w:lang w:val="en-US"/>
        </w:rPr>
        <w:t xml:space="preserve">) of the </w:t>
      </w:r>
      <w:r w:rsidRPr="00902B88">
        <w:rPr>
          <w:rFonts w:ascii="Times New Roman" w:hAnsi="Times New Roman" w:cs="Times New Roman"/>
          <w:i/>
          <w:lang w:val="en-US"/>
        </w:rPr>
        <w:t>d</w:t>
      </w:r>
      <w:r w:rsidRPr="00902B88">
        <w:rPr>
          <w:rFonts w:ascii="Times New Roman" w:hAnsi="Times New Roman" w:cs="Times New Roman"/>
          <w:i/>
          <w:vertAlign w:val="subscript"/>
          <w:lang w:val="en-US"/>
        </w:rPr>
        <w:t xml:space="preserve">u </w:t>
      </w:r>
      <w:r w:rsidRPr="00902B88">
        <w:rPr>
          <w:rFonts w:ascii="Times New Roman" w:hAnsi="Times New Roman" w:cs="Times New Roman"/>
          <w:lang w:val="en-US"/>
        </w:rPr>
        <w:t>distribution; the coefficient of variation (</w:t>
      </w:r>
      <w:proofErr w:type="spellStart"/>
      <w:r w:rsidRPr="00902B88">
        <w:rPr>
          <w:rFonts w:ascii="Times New Roman" w:hAnsi="Times New Roman" w:cs="Times New Roman"/>
          <w:lang w:val="en-US"/>
        </w:rPr>
        <w:t>Cv</w:t>
      </w:r>
      <w:proofErr w:type="spellEnd"/>
      <w:r w:rsidRPr="00902B88">
        <w:rPr>
          <w:rFonts w:ascii="Times New Roman" w:hAnsi="Times New Roman" w:cs="Times New Roman"/>
          <w:lang w:val="en-US"/>
        </w:rPr>
        <w:t xml:space="preserve"> </w:t>
      </w:r>
      <w:r w:rsidRPr="00902B88">
        <w:rPr>
          <w:rFonts w:ascii="Times New Roman" w:hAnsi="Times New Roman" w:cs="Times New Roman"/>
          <w:i/>
          <w:lang w:val="en-US"/>
        </w:rPr>
        <w:t>d</w:t>
      </w:r>
      <w:r w:rsidRPr="00902B88">
        <w:rPr>
          <w:rFonts w:ascii="Times New Roman" w:hAnsi="Times New Roman" w:cs="Times New Roman"/>
          <w:i/>
          <w:vertAlign w:val="subscript"/>
          <w:lang w:val="en-US"/>
        </w:rPr>
        <w:t>u</w:t>
      </w:r>
      <w:r w:rsidRPr="00902B88">
        <w:rPr>
          <w:rFonts w:ascii="Times New Roman" w:hAnsi="Times New Roman" w:cs="Times New Roman"/>
          <w:lang w:val="en-US"/>
        </w:rPr>
        <w:t>)</w:t>
      </w:r>
      <w:r w:rsidR="00902B88">
        <w:rPr>
          <w:rFonts w:ascii="Times New Roman" w:hAnsi="Times New Roman" w:cs="Times New Roman"/>
          <w:lang w:val="en-US"/>
        </w:rPr>
        <w:t xml:space="preserve">, </w:t>
      </w:r>
      <w:r w:rsidR="00902B88" w:rsidRPr="00902B88">
        <w:rPr>
          <w:rFonts w:ascii="Times New Roman" w:hAnsi="Times New Roman" w:cs="Times New Roman"/>
          <w:lang w:val="en-US"/>
        </w:rPr>
        <w:t xml:space="preserve">the </w:t>
      </w:r>
      <w:r w:rsidR="00902B88" w:rsidRPr="00902B88">
        <w:rPr>
          <w:rFonts w:ascii="Times New Roman" w:hAnsi="Times New Roman" w:cs="Times New Roman"/>
          <w:i/>
          <w:lang w:val="en-US"/>
        </w:rPr>
        <w:t>Kolmogorov-Smirnov</w:t>
      </w:r>
      <w:r w:rsidR="00902B88" w:rsidRPr="00902B88">
        <w:rPr>
          <w:rFonts w:ascii="Times New Roman" w:hAnsi="Times New Roman" w:cs="Times New Roman"/>
          <w:lang w:val="en-US"/>
        </w:rPr>
        <w:t xml:space="preserve"> indicator (KS)</w:t>
      </w:r>
      <w:r w:rsidR="00256FE7">
        <w:rPr>
          <w:rFonts w:ascii="Times New Roman" w:hAnsi="Times New Roman" w:cs="Times New Roman"/>
          <w:lang w:val="en-US"/>
        </w:rPr>
        <w:t xml:space="preserve"> </w:t>
      </w:r>
      <w:r w:rsidRPr="00902B88">
        <w:rPr>
          <w:rFonts w:ascii="Times New Roman" w:hAnsi="Times New Roman" w:cs="Times New Roman"/>
          <w:lang w:val="en-US"/>
        </w:rPr>
        <w:t>.</w:t>
      </w:r>
      <w:r w:rsidR="00902B88">
        <w:rPr>
          <w:rFonts w:ascii="Times New Roman" w:hAnsi="Times New Roman" w:cs="Times New Roman"/>
          <w:lang w:val="en-US"/>
        </w:rPr>
        <w:t xml:space="preserve"> </w:t>
      </w:r>
      <w:r w:rsidRPr="00902B88">
        <w:rPr>
          <w:rFonts w:ascii="Times New Roman" w:hAnsi="Times New Roman" w:cs="Times New Roman"/>
          <w:lang w:val="en-US"/>
        </w:rPr>
        <w:t xml:space="preserve">In Table 1 an example of indicators’ values </w:t>
      </w:r>
      <w:r w:rsidR="00902B88">
        <w:rPr>
          <w:rFonts w:ascii="Times New Roman" w:hAnsi="Times New Roman" w:cs="Times New Roman"/>
          <w:lang w:val="en-US"/>
        </w:rPr>
        <w:t xml:space="preserve">when comparing survey </w:t>
      </w:r>
      <w:r w:rsidRPr="00902B88">
        <w:rPr>
          <w:rFonts w:ascii="Times New Roman" w:hAnsi="Times New Roman" w:cs="Times New Roman"/>
          <w:lang w:val="en-US"/>
        </w:rPr>
        <w:t xml:space="preserve">data </w:t>
      </w:r>
      <w:r w:rsidR="00902B88">
        <w:rPr>
          <w:rFonts w:ascii="Times New Roman" w:hAnsi="Times New Roman" w:cs="Times New Roman"/>
          <w:lang w:val="en-US"/>
        </w:rPr>
        <w:t xml:space="preserve">with SS data </w:t>
      </w:r>
      <w:r w:rsidRPr="00902B88">
        <w:rPr>
          <w:rFonts w:ascii="Times New Roman" w:hAnsi="Times New Roman" w:cs="Times New Roman"/>
          <w:lang w:val="en-US"/>
        </w:rPr>
        <w:t xml:space="preserve">for some target </w:t>
      </w:r>
      <w:r w:rsidR="002948F6">
        <w:rPr>
          <w:rFonts w:ascii="Times New Roman" w:hAnsi="Times New Roman" w:cs="Times New Roman"/>
          <w:lang w:val="en-US"/>
        </w:rPr>
        <w:t xml:space="preserve">variables </w:t>
      </w:r>
      <w:r w:rsidRPr="00902B88">
        <w:rPr>
          <w:rFonts w:ascii="Times New Roman" w:hAnsi="Times New Roman" w:cs="Times New Roman"/>
          <w:lang w:val="en-US"/>
        </w:rPr>
        <w:t xml:space="preserve">(25.109 linked units) are reported. </w:t>
      </w:r>
      <w:r w:rsidR="002948F6">
        <w:rPr>
          <w:rFonts w:ascii="Times New Roman" w:hAnsi="Times New Roman" w:cs="Times New Roman"/>
          <w:lang w:val="en-US"/>
        </w:rPr>
        <w:t xml:space="preserve">Similar comparisons were performed for each </w:t>
      </w:r>
      <w:proofErr w:type="spellStart"/>
      <w:r w:rsidR="002948F6" w:rsidRPr="00902B88">
        <w:rPr>
          <w:rFonts w:ascii="Times New Roman" w:hAnsi="Times New Roman" w:cs="Times New Roman"/>
          <w:lang w:val="en-US"/>
        </w:rPr>
        <w:t>Y</w:t>
      </w:r>
      <w:r w:rsidR="002948F6" w:rsidRPr="00902B88">
        <w:rPr>
          <w:rFonts w:ascii="Times New Roman" w:hAnsi="Times New Roman" w:cs="Times New Roman"/>
          <w:i/>
          <w:vertAlign w:val="subscript"/>
          <w:lang w:val="en-US"/>
        </w:rPr>
        <w:t>j</w:t>
      </w:r>
      <w:r w:rsidR="002948F6" w:rsidRPr="00902B88">
        <w:rPr>
          <w:rFonts w:ascii="Times New Roman" w:hAnsi="Times New Roman" w:cs="Times New Roman"/>
          <w:i/>
          <w:vertAlign w:val="superscript"/>
          <w:lang w:val="en-US"/>
        </w:rPr>
        <w:t>i</w:t>
      </w:r>
      <w:proofErr w:type="spellEnd"/>
      <w:r w:rsidR="002948F6">
        <w:rPr>
          <w:rFonts w:ascii="Times New Roman" w:hAnsi="Times New Roman" w:cs="Times New Roman"/>
          <w:lang w:val="en-US"/>
        </w:rPr>
        <w:t xml:space="preserve"> in each source </w:t>
      </w:r>
      <w:r w:rsidR="002948F6">
        <w:rPr>
          <w:rFonts w:ascii="Times New Roman" w:hAnsi="Times New Roman" w:cs="Times New Roman"/>
          <w:i/>
          <w:lang w:val="en-US"/>
        </w:rPr>
        <w:t>i</w:t>
      </w:r>
      <w:r w:rsidR="002948F6">
        <w:rPr>
          <w:rFonts w:ascii="Times New Roman" w:hAnsi="Times New Roman" w:cs="Times New Roman"/>
          <w:lang w:val="en-US"/>
        </w:rPr>
        <w:t>,</w:t>
      </w:r>
      <w:r w:rsidR="002948F6">
        <w:rPr>
          <w:rFonts w:ascii="Times New Roman" w:hAnsi="Times New Roman" w:cs="Times New Roman"/>
          <w:i/>
          <w:lang w:val="en-US"/>
        </w:rPr>
        <w:t xml:space="preserve"> </w:t>
      </w:r>
      <w:r w:rsidR="002948F6">
        <w:rPr>
          <w:rFonts w:ascii="Times New Roman" w:hAnsi="Times New Roman" w:cs="Times New Roman"/>
          <w:lang w:val="en-US"/>
        </w:rPr>
        <w:t xml:space="preserve">by variable and </w:t>
      </w:r>
      <w:r w:rsidR="000C7898">
        <w:rPr>
          <w:rFonts w:ascii="Times New Roman" w:hAnsi="Times New Roman" w:cs="Times New Roman"/>
          <w:lang w:val="en-US"/>
        </w:rPr>
        <w:t xml:space="preserve">data </w:t>
      </w:r>
      <w:r w:rsidR="002948F6">
        <w:rPr>
          <w:rFonts w:ascii="Times New Roman" w:hAnsi="Times New Roman" w:cs="Times New Roman"/>
          <w:lang w:val="en-US"/>
        </w:rPr>
        <w:t xml:space="preserve">domain (e.g. </w:t>
      </w:r>
      <w:r w:rsidR="002948F6">
        <w:rPr>
          <w:rFonts w:ascii="Times New Roman" w:hAnsi="Times New Roman" w:cs="Times New Roman"/>
          <w:i/>
          <w:lang w:val="en-US"/>
        </w:rPr>
        <w:t xml:space="preserve">economic activity </w:t>
      </w:r>
      <w:r w:rsidR="002948F6">
        <w:rPr>
          <w:rFonts w:ascii="Times New Roman" w:hAnsi="Times New Roman" w:cs="Times New Roman"/>
          <w:lang w:val="en-US"/>
        </w:rPr>
        <w:t xml:space="preserve">and </w:t>
      </w:r>
      <w:r w:rsidR="002948F6" w:rsidRPr="002948F6">
        <w:rPr>
          <w:rFonts w:ascii="Times New Roman" w:hAnsi="Times New Roman" w:cs="Times New Roman"/>
          <w:i/>
          <w:lang w:val="en-US"/>
        </w:rPr>
        <w:t>size class</w:t>
      </w:r>
      <w:r w:rsidR="002948F6">
        <w:rPr>
          <w:rFonts w:ascii="Times New Roman" w:hAnsi="Times New Roman" w:cs="Times New Roman"/>
          <w:lang w:val="en-US"/>
        </w:rPr>
        <w:t>)</w:t>
      </w:r>
      <w:r w:rsidR="00256FE7">
        <w:rPr>
          <w:rFonts w:ascii="Times New Roman" w:hAnsi="Times New Roman" w:cs="Times New Roman"/>
          <w:lang w:val="en-US"/>
        </w:rPr>
        <w:t xml:space="preserve"> (see [7])</w:t>
      </w:r>
      <w:r w:rsidR="002948F6">
        <w:rPr>
          <w:rFonts w:ascii="Times New Roman" w:hAnsi="Times New Roman" w:cs="Times New Roman"/>
          <w:lang w:val="en-US"/>
        </w:rPr>
        <w:t>.</w:t>
      </w:r>
      <w:r w:rsidR="00256FE7">
        <w:rPr>
          <w:rFonts w:ascii="Times New Roman" w:hAnsi="Times New Roman" w:cs="Times New Roman"/>
          <w:lang w:val="en-US"/>
        </w:rPr>
        <w:t xml:space="preserve"> </w:t>
      </w:r>
    </w:p>
    <w:p w:rsidR="008B4692" w:rsidRDefault="00256FE7" w:rsidP="00256FE7">
      <w:pPr>
        <w:pStyle w:val="Default"/>
        <w:spacing w:line="360" w:lineRule="auto"/>
        <w:rPr>
          <w:rFonts w:ascii="Times New Roman" w:hAnsi="Times New Roman" w:cs="Times New Roman"/>
          <w:lang w:val="en-US"/>
        </w:rPr>
      </w:pPr>
      <w:r>
        <w:rPr>
          <w:rFonts w:ascii="Times New Roman" w:hAnsi="Times New Roman" w:cs="Times New Roman"/>
          <w:lang w:val="en-US"/>
        </w:rPr>
        <w:t>A</w:t>
      </w:r>
      <w:r w:rsidR="00157ACE">
        <w:rPr>
          <w:rFonts w:ascii="Times New Roman" w:hAnsi="Times New Roman" w:cs="Times New Roman"/>
          <w:lang w:val="en-US"/>
        </w:rPr>
        <w:t xml:space="preserve">nalyses </w:t>
      </w:r>
      <w:r w:rsidR="000C7898">
        <w:rPr>
          <w:rFonts w:ascii="Times New Roman" w:hAnsi="Times New Roman" w:cs="Times New Roman"/>
          <w:lang w:val="en-US"/>
        </w:rPr>
        <w:t xml:space="preserve">highlighted </w:t>
      </w:r>
      <w:r w:rsidR="00157ACE">
        <w:rPr>
          <w:rFonts w:ascii="Times New Roman" w:hAnsi="Times New Roman" w:cs="Times New Roman"/>
          <w:lang w:val="en-US"/>
        </w:rPr>
        <w:t xml:space="preserve">that, </w:t>
      </w:r>
      <w:r w:rsidR="00157ACE" w:rsidRPr="00073E81">
        <w:rPr>
          <w:rFonts w:ascii="Times New Roman" w:hAnsi="Times New Roman" w:cs="Times New Roman"/>
          <w:lang w:val="en-US"/>
        </w:rPr>
        <w:t xml:space="preserve">despite the similarity of definitions ensured </w:t>
      </w:r>
      <w:r w:rsidR="00157ACE">
        <w:rPr>
          <w:rFonts w:ascii="Times New Roman" w:hAnsi="Times New Roman" w:cs="Times New Roman"/>
          <w:lang w:val="en-US"/>
        </w:rPr>
        <w:t xml:space="preserve">by </w:t>
      </w:r>
      <w:r w:rsidR="00157ACE" w:rsidRPr="00073E81">
        <w:rPr>
          <w:rFonts w:ascii="Times New Roman" w:hAnsi="Times New Roman" w:cs="Times New Roman"/>
          <w:lang w:val="en-US"/>
        </w:rPr>
        <w:t xml:space="preserve">the harmonization step, some of the </w:t>
      </w:r>
      <w:proofErr w:type="spellStart"/>
      <w:r w:rsidR="00157ACE" w:rsidRPr="00073E81">
        <w:rPr>
          <w:rFonts w:ascii="Times New Roman" w:hAnsi="Times New Roman" w:cs="Times New Roman"/>
          <w:lang w:val="en-US"/>
        </w:rPr>
        <w:t>Y</w:t>
      </w:r>
      <w:r w:rsidR="00157ACE" w:rsidRPr="00073E81">
        <w:rPr>
          <w:rFonts w:ascii="Times New Roman" w:hAnsi="Times New Roman" w:cs="Times New Roman"/>
          <w:i/>
          <w:vertAlign w:val="subscript"/>
          <w:lang w:val="en-US"/>
        </w:rPr>
        <w:t>j</w:t>
      </w:r>
      <w:r w:rsidR="00157ACE" w:rsidRPr="00073E81">
        <w:rPr>
          <w:rFonts w:ascii="Times New Roman" w:hAnsi="Times New Roman" w:cs="Times New Roman"/>
          <w:i/>
          <w:vertAlign w:val="superscript"/>
          <w:lang w:val="en-US"/>
        </w:rPr>
        <w:t>i</w:t>
      </w:r>
      <w:proofErr w:type="spellEnd"/>
      <w:r w:rsidR="00157ACE" w:rsidRPr="00073E81">
        <w:rPr>
          <w:rFonts w:ascii="Times New Roman" w:hAnsi="Times New Roman" w:cs="Times New Roman"/>
          <w:lang w:val="en-US"/>
        </w:rPr>
        <w:t xml:space="preserve"> </w:t>
      </w:r>
      <w:r w:rsidR="00157ACE">
        <w:rPr>
          <w:rFonts w:ascii="Times New Roman" w:hAnsi="Times New Roman" w:cs="Times New Roman"/>
          <w:lang w:val="en-US"/>
        </w:rPr>
        <w:t xml:space="preserve">systematically </w:t>
      </w:r>
      <w:r w:rsidR="00157ACE" w:rsidRPr="00073E81">
        <w:rPr>
          <w:rFonts w:ascii="Times New Roman" w:hAnsi="Times New Roman" w:cs="Times New Roman"/>
          <w:lang w:val="en-US"/>
        </w:rPr>
        <w:t>diverge</w:t>
      </w:r>
      <w:r w:rsidR="00157ACE">
        <w:rPr>
          <w:rFonts w:ascii="Times New Roman" w:hAnsi="Times New Roman" w:cs="Times New Roman"/>
          <w:lang w:val="en-US"/>
        </w:rPr>
        <w:t>d</w:t>
      </w:r>
      <w:r w:rsidR="00157ACE" w:rsidRPr="00073E81">
        <w:rPr>
          <w:rFonts w:ascii="Times New Roman" w:hAnsi="Times New Roman" w:cs="Times New Roman"/>
          <w:lang w:val="en-US"/>
        </w:rPr>
        <w:t xml:space="preserve"> from the corresponding </w:t>
      </w:r>
      <w:proofErr w:type="spellStart"/>
      <w:r w:rsidR="00157ACE" w:rsidRPr="00073E81">
        <w:rPr>
          <w:rFonts w:ascii="Times New Roman" w:hAnsi="Times New Roman" w:cs="Times New Roman"/>
          <w:lang w:val="en-US"/>
        </w:rPr>
        <w:t>Y</w:t>
      </w:r>
      <w:r w:rsidR="00157ACE" w:rsidRPr="00073E81">
        <w:rPr>
          <w:rFonts w:ascii="Times New Roman" w:hAnsi="Times New Roman" w:cs="Times New Roman"/>
          <w:i/>
          <w:vertAlign w:val="subscript"/>
          <w:lang w:val="en-US"/>
        </w:rPr>
        <w:t>j</w:t>
      </w:r>
      <w:proofErr w:type="spellEnd"/>
      <w:r w:rsidR="00157ACE" w:rsidRPr="00073E81">
        <w:rPr>
          <w:rFonts w:ascii="Times New Roman" w:hAnsi="Times New Roman" w:cs="Times New Roman"/>
          <w:i/>
          <w:vertAlign w:val="superscript"/>
          <w:lang w:val="en-US"/>
        </w:rPr>
        <w:t>*</w:t>
      </w:r>
      <w:r w:rsidR="00157ACE">
        <w:rPr>
          <w:rFonts w:ascii="Times New Roman" w:hAnsi="Times New Roman" w:cs="Times New Roman"/>
          <w:lang w:val="en-US"/>
        </w:rPr>
        <w:t xml:space="preserve"> (mainly </w:t>
      </w:r>
      <w:r w:rsidR="00157ACE" w:rsidRPr="00073E81">
        <w:rPr>
          <w:rFonts w:ascii="Times New Roman" w:hAnsi="Times New Roman" w:cs="Times New Roman"/>
          <w:lang w:val="en-US"/>
        </w:rPr>
        <w:t>due to the different behavior of enterprises when providing information for fiscal purposes</w:t>
      </w:r>
      <w:r w:rsidR="00157ACE">
        <w:rPr>
          <w:rFonts w:ascii="Times New Roman" w:hAnsi="Times New Roman" w:cs="Times New Roman"/>
          <w:lang w:val="en-US"/>
        </w:rPr>
        <w:t>,</w:t>
      </w:r>
      <w:r w:rsidR="00157ACE" w:rsidRPr="00073E81">
        <w:rPr>
          <w:rFonts w:ascii="Times New Roman" w:hAnsi="Times New Roman" w:cs="Times New Roman"/>
          <w:lang w:val="en-US"/>
        </w:rPr>
        <w:t xml:space="preserve"> </w:t>
      </w:r>
      <w:r w:rsidR="00157ACE">
        <w:rPr>
          <w:rFonts w:ascii="Times New Roman" w:hAnsi="Times New Roman" w:cs="Times New Roman"/>
          <w:lang w:val="en-US"/>
        </w:rPr>
        <w:t xml:space="preserve">or </w:t>
      </w:r>
      <w:r w:rsidR="00157ACE" w:rsidRPr="00073E81">
        <w:rPr>
          <w:rFonts w:ascii="Times New Roman" w:hAnsi="Times New Roman" w:cs="Times New Roman"/>
          <w:lang w:val="en-US"/>
        </w:rPr>
        <w:t xml:space="preserve">to </w:t>
      </w:r>
      <w:r w:rsidR="00157ACE">
        <w:rPr>
          <w:rFonts w:ascii="Times New Roman" w:hAnsi="Times New Roman" w:cs="Times New Roman"/>
          <w:lang w:val="en-US"/>
        </w:rPr>
        <w:t xml:space="preserve">the fact that </w:t>
      </w:r>
      <w:r w:rsidR="00157ACE" w:rsidRPr="00073E81">
        <w:rPr>
          <w:rFonts w:ascii="Times New Roman" w:hAnsi="Times New Roman" w:cs="Times New Roman"/>
          <w:lang w:val="en-US"/>
        </w:rPr>
        <w:t xml:space="preserve">some items </w:t>
      </w:r>
      <w:r w:rsidR="00157ACE">
        <w:rPr>
          <w:rFonts w:ascii="Times New Roman" w:hAnsi="Times New Roman" w:cs="Times New Roman"/>
          <w:lang w:val="en-US"/>
        </w:rPr>
        <w:t xml:space="preserve">could be </w:t>
      </w:r>
      <w:r w:rsidR="00157ACE" w:rsidRPr="00073E81">
        <w:rPr>
          <w:rFonts w:ascii="Times New Roman" w:hAnsi="Times New Roman" w:cs="Times New Roman"/>
          <w:lang w:val="en-US"/>
        </w:rPr>
        <w:t>of lower interest for the data ow</w:t>
      </w:r>
      <w:r w:rsidR="00157ACE">
        <w:rPr>
          <w:rFonts w:ascii="Times New Roman" w:hAnsi="Times New Roman" w:cs="Times New Roman"/>
          <w:lang w:val="en-US"/>
        </w:rPr>
        <w:t>ner so maybe they are not checked at all)</w:t>
      </w:r>
      <w:r w:rsidR="00157ACE" w:rsidRPr="00073E81">
        <w:rPr>
          <w:rFonts w:ascii="Times New Roman" w:hAnsi="Times New Roman" w:cs="Times New Roman"/>
          <w:lang w:val="en-US"/>
        </w:rPr>
        <w:t>.</w:t>
      </w:r>
      <w:r w:rsidR="008D71FF">
        <w:rPr>
          <w:rFonts w:ascii="Times New Roman" w:hAnsi="Times New Roman" w:cs="Times New Roman"/>
          <w:lang w:val="en-US"/>
        </w:rPr>
        <w:t xml:space="preserve"> </w:t>
      </w:r>
      <w:r w:rsidR="008B4692">
        <w:rPr>
          <w:rFonts w:ascii="Times New Roman" w:hAnsi="Times New Roman" w:cs="Times New Roman"/>
          <w:lang w:val="en-US"/>
        </w:rPr>
        <w:t xml:space="preserve">Actually, </w:t>
      </w:r>
      <w:r w:rsidR="005A51AA">
        <w:rPr>
          <w:rFonts w:ascii="Times New Roman" w:hAnsi="Times New Roman" w:cs="Times New Roman"/>
          <w:lang w:val="en-US"/>
        </w:rPr>
        <w:t xml:space="preserve">from </w:t>
      </w:r>
      <w:r w:rsidR="008B4692" w:rsidRPr="00CA7838">
        <w:rPr>
          <w:rFonts w:ascii="Times New Roman" w:hAnsi="Times New Roman" w:cs="Times New Roman"/>
          <w:lang w:val="en-US"/>
        </w:rPr>
        <w:t>th</w:t>
      </w:r>
      <w:r w:rsidR="008B4692">
        <w:rPr>
          <w:rFonts w:ascii="Times New Roman" w:hAnsi="Times New Roman" w:cs="Times New Roman"/>
          <w:lang w:val="en-US"/>
        </w:rPr>
        <w:t>e evaluation study it resulted that:</w:t>
      </w:r>
    </w:p>
    <w:p w:rsidR="008B4692" w:rsidRPr="00724F69" w:rsidRDefault="008B4692" w:rsidP="008D71FF">
      <w:pPr>
        <w:pStyle w:val="Default"/>
        <w:numPr>
          <w:ilvl w:val="0"/>
          <w:numId w:val="32"/>
        </w:numPr>
        <w:spacing w:line="360" w:lineRule="auto"/>
        <w:ind w:left="426" w:hanging="357"/>
        <w:jc w:val="both"/>
        <w:rPr>
          <w:rFonts w:ascii="Times New Roman" w:hAnsi="Times New Roman" w:cs="Times New Roman"/>
          <w:lang w:val="en-US"/>
        </w:rPr>
      </w:pPr>
      <w:r w:rsidRPr="00724F69">
        <w:rPr>
          <w:rFonts w:ascii="Times New Roman" w:hAnsi="Times New Roman" w:cs="Times New Roman"/>
          <w:lang w:val="en-US"/>
        </w:rPr>
        <w:t xml:space="preserve">some </w:t>
      </w:r>
      <w:proofErr w:type="spellStart"/>
      <w:r w:rsidRPr="00724F69">
        <w:rPr>
          <w:rFonts w:ascii="Times New Roman" w:hAnsi="Times New Roman" w:cs="Times New Roman"/>
          <w:lang w:val="en-US"/>
        </w:rPr>
        <w:t>Y</w:t>
      </w:r>
      <w:r w:rsidRPr="00724F69">
        <w:rPr>
          <w:rFonts w:ascii="Times New Roman" w:hAnsi="Times New Roman" w:cs="Times New Roman"/>
          <w:i/>
          <w:vertAlign w:val="subscript"/>
          <w:lang w:val="en-US"/>
        </w:rPr>
        <w:t>j</w:t>
      </w:r>
      <w:proofErr w:type="spellEnd"/>
      <w:r w:rsidRPr="00724F69">
        <w:rPr>
          <w:rFonts w:ascii="Times New Roman" w:hAnsi="Times New Roman" w:cs="Times New Roman"/>
          <w:i/>
          <w:vertAlign w:val="superscript"/>
          <w:lang w:val="en-US"/>
        </w:rPr>
        <w:t>*</w:t>
      </w:r>
      <w:r w:rsidRPr="00724F69">
        <w:rPr>
          <w:rFonts w:ascii="Times New Roman" w:hAnsi="Times New Roman" w:cs="Times New Roman"/>
          <w:lang w:val="en-US"/>
        </w:rPr>
        <w:t xml:space="preserve"> had a good level of coverage (</w:t>
      </w:r>
      <w:r w:rsidRPr="00724F69">
        <w:rPr>
          <w:rFonts w:ascii="Times New Roman" w:hAnsi="Times New Roman" w:cs="Times New Roman"/>
          <w:i/>
          <w:lang w:val="en-US"/>
        </w:rPr>
        <w:t>main economic aggregates</w:t>
      </w:r>
      <w:r w:rsidRPr="00724F69">
        <w:rPr>
          <w:rFonts w:ascii="Times New Roman" w:hAnsi="Times New Roman" w:cs="Times New Roman"/>
          <w:lang w:val="en-US"/>
        </w:rPr>
        <w:t xml:space="preserve">), then could be estimated by directly using </w:t>
      </w:r>
      <w:proofErr w:type="spellStart"/>
      <w:r w:rsidRPr="00724F69">
        <w:rPr>
          <w:rFonts w:ascii="Times New Roman" w:hAnsi="Times New Roman" w:cs="Times New Roman"/>
          <w:lang w:val="en-US"/>
        </w:rPr>
        <w:t>Y</w:t>
      </w:r>
      <w:r w:rsidRPr="00724F69">
        <w:rPr>
          <w:rFonts w:ascii="Times New Roman" w:hAnsi="Times New Roman" w:cs="Times New Roman"/>
          <w:i/>
          <w:vertAlign w:val="subscript"/>
          <w:lang w:val="en-US"/>
        </w:rPr>
        <w:t>j</w:t>
      </w:r>
      <w:r w:rsidRPr="00724F69">
        <w:rPr>
          <w:rFonts w:ascii="Times New Roman" w:hAnsi="Times New Roman" w:cs="Times New Roman"/>
          <w:i/>
          <w:vertAlign w:val="superscript"/>
          <w:lang w:val="en-US"/>
        </w:rPr>
        <w:t>i</w:t>
      </w:r>
      <w:proofErr w:type="spellEnd"/>
      <w:r w:rsidRPr="00724F69">
        <w:rPr>
          <w:rFonts w:ascii="Times New Roman" w:hAnsi="Times New Roman" w:cs="Times New Roman"/>
          <w:lang w:val="en-US"/>
        </w:rPr>
        <w:t xml:space="preserve"> information from the different sources on different SME sub-populations, with the following priority: </w:t>
      </w:r>
      <w:r w:rsidRPr="00724F69">
        <w:rPr>
          <w:rFonts w:ascii="Times New Roman" w:hAnsi="Times New Roman" w:cs="Times New Roman"/>
          <w:i/>
          <w:lang w:val="en-US"/>
        </w:rPr>
        <w:t>FS</w:t>
      </w:r>
      <w:r w:rsidRPr="00724F69">
        <w:rPr>
          <w:rFonts w:ascii="Times New Roman" w:hAnsi="Times New Roman" w:cs="Times New Roman"/>
          <w:lang w:val="en-US"/>
        </w:rPr>
        <w:t xml:space="preserve"> (which resulted the best harmonized source w.r.t.</w:t>
      </w:r>
      <w:r w:rsidRPr="00724F69">
        <w:rPr>
          <w:rFonts w:ascii="Times New Roman" w:hAnsi="Times New Roman" w:cs="Times New Roman"/>
          <w:lang w:val="en-CA"/>
        </w:rPr>
        <w:t xml:space="preserve"> SBS Regulation definitions</w:t>
      </w:r>
      <w:r w:rsidRPr="00724F69">
        <w:rPr>
          <w:rFonts w:ascii="Times New Roman" w:hAnsi="Times New Roman" w:cs="Times New Roman"/>
          <w:lang w:val="en-US"/>
        </w:rPr>
        <w:t xml:space="preserve">, supplying the largest amount of good quality information), SDS and finally </w:t>
      </w:r>
      <w:proofErr w:type="spellStart"/>
      <w:r w:rsidRPr="00724F69">
        <w:rPr>
          <w:rFonts w:ascii="Times New Roman" w:hAnsi="Times New Roman" w:cs="Times New Roman"/>
          <w:lang w:val="en-US"/>
        </w:rPr>
        <w:t>Unico</w:t>
      </w:r>
      <w:proofErr w:type="spellEnd"/>
      <w:r w:rsidRPr="00724F69">
        <w:rPr>
          <w:rFonts w:ascii="Times New Roman" w:hAnsi="Times New Roman" w:cs="Times New Roman"/>
          <w:lang w:val="en-US"/>
        </w:rPr>
        <w:t>.</w:t>
      </w:r>
      <w:r>
        <w:rPr>
          <w:rFonts w:ascii="Times New Roman" w:hAnsi="Times New Roman" w:cs="Times New Roman"/>
          <w:lang w:val="en-US"/>
        </w:rPr>
        <w:t xml:space="preserve"> These variables, however, </w:t>
      </w:r>
      <w:r w:rsidRPr="00724F69">
        <w:rPr>
          <w:rFonts w:ascii="Times New Roman" w:hAnsi="Times New Roman" w:cs="Times New Roman"/>
          <w:lang w:val="en-US"/>
        </w:rPr>
        <w:t>contain “partially” missing values, due to the lack of information in some sources</w:t>
      </w:r>
      <w:r>
        <w:rPr>
          <w:rFonts w:ascii="Times New Roman" w:hAnsi="Times New Roman" w:cs="Times New Roman"/>
          <w:lang w:val="en-US"/>
        </w:rPr>
        <w:t>: these values</w:t>
      </w:r>
      <w:r w:rsidRPr="00724F69">
        <w:rPr>
          <w:rFonts w:ascii="Times New Roman" w:hAnsi="Times New Roman" w:cs="Times New Roman"/>
          <w:lang w:val="en-US"/>
        </w:rPr>
        <w:t xml:space="preserve"> which will be considered as </w:t>
      </w:r>
      <w:r w:rsidRPr="00724F69">
        <w:rPr>
          <w:rFonts w:ascii="Times New Roman" w:hAnsi="Times New Roman" w:cs="Times New Roman"/>
          <w:i/>
          <w:lang w:val="en-US"/>
        </w:rPr>
        <w:t>item non responses</w:t>
      </w:r>
      <w:r w:rsidRPr="00724F69">
        <w:rPr>
          <w:rFonts w:ascii="Times New Roman" w:hAnsi="Times New Roman" w:cs="Times New Roman"/>
          <w:lang w:val="en-US"/>
        </w:rPr>
        <w:t>.</w:t>
      </w:r>
    </w:p>
    <w:p w:rsidR="008B4692" w:rsidRDefault="008B4692" w:rsidP="008D71FF">
      <w:pPr>
        <w:pStyle w:val="Default"/>
        <w:numPr>
          <w:ilvl w:val="0"/>
          <w:numId w:val="32"/>
        </w:numPr>
        <w:spacing w:line="360" w:lineRule="auto"/>
        <w:ind w:left="426" w:hanging="357"/>
        <w:jc w:val="both"/>
        <w:rPr>
          <w:rFonts w:ascii="Times New Roman" w:hAnsi="Times New Roman" w:cs="Times New Roman"/>
          <w:lang w:val="en-US"/>
        </w:rPr>
      </w:pPr>
      <w:r>
        <w:rPr>
          <w:rFonts w:ascii="Times New Roman" w:hAnsi="Times New Roman" w:cs="Times New Roman"/>
          <w:lang w:val="en-US"/>
        </w:rPr>
        <w:lastRenderedPageBreak/>
        <w:t xml:space="preserve">some </w:t>
      </w:r>
      <w:proofErr w:type="spellStart"/>
      <w:r w:rsidRPr="00073E81">
        <w:rPr>
          <w:rFonts w:ascii="Times New Roman" w:hAnsi="Times New Roman" w:cs="Times New Roman"/>
          <w:lang w:val="en-US"/>
        </w:rPr>
        <w:t>Y</w:t>
      </w:r>
      <w:r w:rsidRPr="00073E81">
        <w:rPr>
          <w:rFonts w:ascii="Times New Roman" w:hAnsi="Times New Roman" w:cs="Times New Roman"/>
          <w:i/>
          <w:vertAlign w:val="subscript"/>
          <w:lang w:val="en-US"/>
        </w:rPr>
        <w:t>j</w:t>
      </w:r>
      <w:proofErr w:type="spellEnd"/>
      <w:r w:rsidRPr="00073E81">
        <w:rPr>
          <w:rFonts w:ascii="Times New Roman" w:hAnsi="Times New Roman" w:cs="Times New Roman"/>
          <w:i/>
          <w:vertAlign w:val="superscript"/>
          <w:lang w:val="en-US"/>
        </w:rPr>
        <w:t>*</w:t>
      </w:r>
      <w:r>
        <w:rPr>
          <w:rFonts w:ascii="Times New Roman" w:hAnsi="Times New Roman" w:cs="Times New Roman"/>
          <w:lang w:val="en-US"/>
        </w:rPr>
        <w:t xml:space="preserve"> could not be directly estimated based on AD source, as the level of coverage was considered as not adequate (</w:t>
      </w:r>
      <w:r w:rsidRPr="00136642">
        <w:rPr>
          <w:rFonts w:ascii="Times New Roman" w:hAnsi="Times New Roman" w:cs="Times New Roman"/>
          <w:i/>
          <w:lang w:val="en-US"/>
        </w:rPr>
        <w:t xml:space="preserve">components of the main </w:t>
      </w:r>
      <w:r>
        <w:rPr>
          <w:rFonts w:ascii="Times New Roman" w:hAnsi="Times New Roman" w:cs="Times New Roman"/>
          <w:i/>
          <w:lang w:val="en-US"/>
        </w:rPr>
        <w:t xml:space="preserve">economic </w:t>
      </w:r>
      <w:r w:rsidRPr="00136642">
        <w:rPr>
          <w:rFonts w:ascii="Times New Roman" w:hAnsi="Times New Roman" w:cs="Times New Roman"/>
          <w:i/>
          <w:lang w:val="en-US"/>
        </w:rPr>
        <w:t>variables</w:t>
      </w:r>
      <w:r>
        <w:rPr>
          <w:rFonts w:ascii="Times New Roman" w:hAnsi="Times New Roman" w:cs="Times New Roman"/>
          <w:lang w:val="en-US"/>
        </w:rPr>
        <w:t>);</w:t>
      </w:r>
    </w:p>
    <w:p w:rsidR="003E694C" w:rsidRPr="002A029B" w:rsidRDefault="003E694C" w:rsidP="000C7898">
      <w:pPr>
        <w:pStyle w:val="Default"/>
        <w:spacing w:before="120" w:after="120"/>
        <w:jc w:val="both"/>
        <w:rPr>
          <w:rFonts w:ascii="Times New Roman" w:hAnsi="Times New Roman" w:cs="Times New Roman"/>
          <w:i/>
          <w:lang w:val="en-US"/>
        </w:rPr>
      </w:pPr>
      <w:r w:rsidRPr="002A029B">
        <w:rPr>
          <w:rFonts w:ascii="Times New Roman" w:hAnsi="Times New Roman" w:cs="Times New Roman"/>
          <w:i/>
          <w:lang w:val="en-US"/>
        </w:rPr>
        <w:t xml:space="preserve">Table 1: Quality indicators by variable (SS </w:t>
      </w:r>
      <w:proofErr w:type="spellStart"/>
      <w:r w:rsidRPr="002A029B">
        <w:rPr>
          <w:rFonts w:ascii="Times New Roman" w:hAnsi="Times New Roman" w:cs="Times New Roman"/>
          <w:i/>
          <w:lang w:val="en-US"/>
        </w:rPr>
        <w:t>vs</w:t>
      </w:r>
      <w:proofErr w:type="spellEnd"/>
      <w:r w:rsidRPr="002A029B">
        <w:rPr>
          <w:rFonts w:ascii="Times New Roman" w:hAnsi="Times New Roman" w:cs="Times New Roman"/>
          <w:i/>
          <w:lang w:val="en-US"/>
        </w:rPr>
        <w:t xml:space="preserve"> Sample Survey)</w:t>
      </w:r>
    </w:p>
    <w:tbl>
      <w:tblPr>
        <w:tblW w:w="4192" w:type="pct"/>
        <w:tblCellMar>
          <w:left w:w="70" w:type="dxa"/>
          <w:right w:w="70" w:type="dxa"/>
        </w:tblCellMar>
        <w:tblLook w:val="04A0" w:firstRow="1" w:lastRow="0" w:firstColumn="1" w:lastColumn="0" w:noHBand="0" w:noVBand="1"/>
      </w:tblPr>
      <w:tblGrid>
        <w:gridCol w:w="3003"/>
        <w:gridCol w:w="665"/>
        <w:gridCol w:w="948"/>
        <w:gridCol w:w="416"/>
        <w:gridCol w:w="543"/>
        <w:gridCol w:w="341"/>
        <w:gridCol w:w="715"/>
        <w:gridCol w:w="169"/>
        <w:gridCol w:w="684"/>
        <w:gridCol w:w="31"/>
        <w:gridCol w:w="653"/>
        <w:gridCol w:w="30"/>
      </w:tblGrid>
      <w:tr w:rsidR="003E694C" w:rsidTr="001752C2">
        <w:trPr>
          <w:trHeight w:val="450"/>
        </w:trPr>
        <w:tc>
          <w:tcPr>
            <w:tcW w:w="1832" w:type="pct"/>
            <w:tcBorders>
              <w:top w:val="single" w:sz="4" w:space="0" w:color="auto"/>
              <w:left w:val="nil"/>
              <w:bottom w:val="single" w:sz="4" w:space="0" w:color="auto"/>
              <w:right w:val="nil"/>
            </w:tcBorders>
            <w:shd w:val="clear" w:color="auto" w:fill="auto"/>
            <w:noWrap/>
            <w:vAlign w:val="bottom"/>
            <w:hideMark/>
          </w:tcPr>
          <w:p w:rsidR="003E694C" w:rsidRDefault="003E694C" w:rsidP="001752C2">
            <w:pPr>
              <w:spacing w:after="120"/>
              <w:rPr>
                <w:rFonts w:ascii="Arial" w:hAnsi="Arial" w:cs="Arial"/>
                <w:color w:val="000000"/>
                <w:sz w:val="16"/>
                <w:szCs w:val="16"/>
              </w:rPr>
            </w:pPr>
            <w:r>
              <w:rPr>
                <w:rFonts w:ascii="Arial" w:hAnsi="Arial" w:cs="Arial"/>
                <w:color w:val="000000"/>
                <w:sz w:val="16"/>
                <w:szCs w:val="16"/>
              </w:rPr>
              <w:t>VARIABLES</w:t>
            </w:r>
          </w:p>
        </w:tc>
        <w:tc>
          <w:tcPr>
            <w:tcW w:w="406" w:type="pct"/>
            <w:tcBorders>
              <w:top w:val="single" w:sz="4" w:space="0" w:color="auto"/>
              <w:left w:val="nil"/>
              <w:bottom w:val="single" w:sz="4" w:space="0" w:color="auto"/>
              <w:right w:val="nil"/>
            </w:tcBorders>
            <w:shd w:val="clear" w:color="auto" w:fill="auto"/>
            <w:noWrap/>
            <w:vAlign w:val="bottom"/>
            <w:hideMark/>
          </w:tcPr>
          <w:p w:rsidR="003E694C" w:rsidRDefault="003E694C" w:rsidP="001752C2">
            <w:pPr>
              <w:spacing w:after="120"/>
              <w:jc w:val="right"/>
              <w:rPr>
                <w:rFonts w:ascii="Arial" w:hAnsi="Arial" w:cs="Arial"/>
                <w:color w:val="000000"/>
                <w:sz w:val="16"/>
                <w:szCs w:val="16"/>
              </w:rPr>
            </w:pPr>
            <w:r>
              <w:rPr>
                <w:rFonts w:ascii="Arial" w:hAnsi="Arial" w:cs="Arial"/>
                <w:color w:val="000000"/>
                <w:sz w:val="16"/>
                <w:szCs w:val="16"/>
              </w:rPr>
              <w:t>KS</w:t>
            </w:r>
          </w:p>
        </w:tc>
        <w:tc>
          <w:tcPr>
            <w:tcW w:w="578" w:type="pct"/>
            <w:tcBorders>
              <w:top w:val="single" w:sz="4" w:space="0" w:color="auto"/>
              <w:left w:val="nil"/>
              <w:bottom w:val="single" w:sz="4" w:space="0" w:color="auto"/>
              <w:right w:val="nil"/>
            </w:tcBorders>
            <w:shd w:val="clear" w:color="auto" w:fill="auto"/>
            <w:vAlign w:val="bottom"/>
            <w:hideMark/>
          </w:tcPr>
          <w:p w:rsidR="003E694C" w:rsidRDefault="003E694C" w:rsidP="001752C2">
            <w:pPr>
              <w:spacing w:after="120"/>
              <w:jc w:val="right"/>
              <w:rPr>
                <w:rFonts w:ascii="Arial" w:hAnsi="Arial" w:cs="Arial"/>
                <w:color w:val="000000"/>
                <w:sz w:val="16"/>
                <w:szCs w:val="16"/>
              </w:rPr>
            </w:pPr>
            <w:proofErr w:type="spellStart"/>
            <w:r w:rsidRPr="002A2A52">
              <w:rPr>
                <w:rFonts w:ascii="Calibri" w:hAnsi="Calibri" w:cs="Calibri"/>
                <w:i/>
                <w:color w:val="000000"/>
                <w:sz w:val="16"/>
                <w:szCs w:val="16"/>
              </w:rPr>
              <w:t>d</w:t>
            </w:r>
            <w:r w:rsidRPr="002A2A52">
              <w:rPr>
                <w:rFonts w:ascii="Calibri" w:hAnsi="Calibri" w:cs="Calibri"/>
                <w:color w:val="000000"/>
                <w:sz w:val="16"/>
                <w:szCs w:val="16"/>
                <w:vertAlign w:val="subscript"/>
              </w:rPr>
              <w:t>u</w:t>
            </w:r>
            <w:proofErr w:type="spellEnd"/>
            <w:r>
              <w:rPr>
                <w:rFonts w:ascii="Calibri" w:hAnsi="Calibri" w:cs="Calibri"/>
                <w:color w:val="000000"/>
                <w:sz w:val="16"/>
                <w:szCs w:val="16"/>
              </w:rPr>
              <w:sym w:font="Symbol MT" w:char="F0CD"/>
            </w:r>
            <w:r>
              <w:rPr>
                <w:rFonts w:ascii="Calibri" w:hAnsi="Calibri" w:cs="Calibri"/>
                <w:color w:val="000000"/>
                <w:sz w:val="16"/>
                <w:szCs w:val="16"/>
              </w:rPr>
              <w:t>±</w:t>
            </w:r>
            <w:r>
              <w:rPr>
                <w:rFonts w:ascii="Arial" w:hAnsi="Arial" w:cs="Arial"/>
                <w:color w:val="000000"/>
                <w:sz w:val="16"/>
                <w:szCs w:val="16"/>
              </w:rPr>
              <w:t xml:space="preserve"> 5% </w:t>
            </w:r>
            <w:r>
              <w:rPr>
                <w:rFonts w:ascii="Arial" w:hAnsi="Arial" w:cs="Arial"/>
                <w:color w:val="000000"/>
                <w:sz w:val="16"/>
                <w:szCs w:val="16"/>
              </w:rPr>
              <w:br/>
              <w:t xml:space="preserve">(% </w:t>
            </w:r>
            <w:proofErr w:type="spellStart"/>
            <w:r>
              <w:rPr>
                <w:rFonts w:ascii="Arial" w:hAnsi="Arial" w:cs="Arial"/>
                <w:color w:val="000000"/>
                <w:sz w:val="16"/>
                <w:szCs w:val="16"/>
              </w:rPr>
              <w:t>units</w:t>
            </w:r>
            <w:proofErr w:type="spellEnd"/>
            <w:r>
              <w:rPr>
                <w:rFonts w:ascii="Arial" w:hAnsi="Arial" w:cs="Arial"/>
                <w:color w:val="000000"/>
                <w:sz w:val="16"/>
                <w:szCs w:val="16"/>
              </w:rPr>
              <w:t>)</w:t>
            </w:r>
          </w:p>
        </w:tc>
        <w:tc>
          <w:tcPr>
            <w:tcW w:w="585" w:type="pct"/>
            <w:gridSpan w:val="2"/>
            <w:tcBorders>
              <w:top w:val="single" w:sz="4" w:space="0" w:color="auto"/>
              <w:left w:val="nil"/>
              <w:bottom w:val="single" w:sz="4" w:space="0" w:color="auto"/>
              <w:right w:val="nil"/>
            </w:tcBorders>
            <w:shd w:val="clear" w:color="auto" w:fill="auto"/>
            <w:vAlign w:val="bottom"/>
            <w:hideMark/>
          </w:tcPr>
          <w:p w:rsidR="003E694C" w:rsidRDefault="003E694C" w:rsidP="001752C2">
            <w:pPr>
              <w:spacing w:after="120"/>
              <w:jc w:val="right"/>
              <w:rPr>
                <w:rFonts w:ascii="Arial" w:hAnsi="Arial" w:cs="Arial"/>
                <w:color w:val="000000"/>
                <w:sz w:val="16"/>
                <w:szCs w:val="16"/>
              </w:rPr>
            </w:pPr>
            <w:proofErr w:type="spellStart"/>
            <w:r>
              <w:rPr>
                <w:rFonts w:ascii="Arial" w:hAnsi="Arial" w:cs="Arial"/>
                <w:color w:val="000000"/>
                <w:sz w:val="16"/>
                <w:szCs w:val="16"/>
              </w:rPr>
              <w:t>Mean</w:t>
            </w:r>
            <w:proofErr w:type="spellEnd"/>
            <w:r>
              <w:rPr>
                <w:rFonts w:ascii="Arial" w:hAnsi="Arial" w:cs="Arial"/>
                <w:color w:val="000000"/>
                <w:sz w:val="16"/>
                <w:szCs w:val="16"/>
              </w:rPr>
              <w:t xml:space="preserve"> </w:t>
            </w:r>
            <w:proofErr w:type="spellStart"/>
            <w:r w:rsidRPr="002A2A52">
              <w:rPr>
                <w:rFonts w:ascii="Calibri" w:hAnsi="Calibri" w:cs="Calibri"/>
                <w:i/>
                <w:color w:val="000000"/>
                <w:sz w:val="16"/>
                <w:szCs w:val="16"/>
              </w:rPr>
              <w:t>d</w:t>
            </w:r>
            <w:r w:rsidRPr="002A2A52">
              <w:rPr>
                <w:rFonts w:ascii="Calibri" w:hAnsi="Calibri" w:cs="Calibri"/>
                <w:color w:val="000000"/>
                <w:sz w:val="16"/>
                <w:szCs w:val="16"/>
                <w:vertAlign w:val="subscript"/>
              </w:rPr>
              <w:t>u</w:t>
            </w:r>
            <w:proofErr w:type="spellEnd"/>
            <w:r>
              <w:rPr>
                <w:rFonts w:ascii="Arial" w:hAnsi="Arial" w:cs="Arial"/>
                <w:color w:val="000000"/>
                <w:sz w:val="16"/>
                <w:szCs w:val="16"/>
              </w:rPr>
              <w:t xml:space="preserve"> (000€)</w:t>
            </w:r>
          </w:p>
        </w:tc>
        <w:tc>
          <w:tcPr>
            <w:tcW w:w="644" w:type="pct"/>
            <w:gridSpan w:val="2"/>
            <w:tcBorders>
              <w:top w:val="single" w:sz="4" w:space="0" w:color="auto"/>
              <w:left w:val="nil"/>
              <w:bottom w:val="single" w:sz="4" w:space="0" w:color="auto"/>
              <w:right w:val="nil"/>
            </w:tcBorders>
            <w:shd w:val="clear" w:color="auto" w:fill="auto"/>
            <w:vAlign w:val="bottom"/>
            <w:hideMark/>
          </w:tcPr>
          <w:p w:rsidR="003E694C" w:rsidRDefault="003E694C" w:rsidP="001752C2">
            <w:pPr>
              <w:spacing w:after="120"/>
              <w:jc w:val="right"/>
              <w:rPr>
                <w:rFonts w:ascii="Arial" w:hAnsi="Arial" w:cs="Arial"/>
                <w:color w:val="000000"/>
                <w:sz w:val="16"/>
                <w:szCs w:val="16"/>
              </w:rPr>
            </w:pPr>
            <w:proofErr w:type="spellStart"/>
            <w:r>
              <w:rPr>
                <w:rFonts w:ascii="Arial" w:hAnsi="Arial" w:cs="Arial"/>
                <w:color w:val="000000"/>
                <w:sz w:val="16"/>
                <w:szCs w:val="16"/>
              </w:rPr>
              <w:t>Median</w:t>
            </w:r>
            <w:proofErr w:type="spellEnd"/>
            <w:r>
              <w:rPr>
                <w:rFonts w:ascii="Arial" w:hAnsi="Arial" w:cs="Arial"/>
                <w:color w:val="000000"/>
                <w:sz w:val="16"/>
                <w:szCs w:val="16"/>
              </w:rPr>
              <w:t xml:space="preserve"> </w:t>
            </w:r>
            <w:proofErr w:type="spellStart"/>
            <w:r w:rsidRPr="002A2A52">
              <w:rPr>
                <w:rFonts w:ascii="Calibri" w:hAnsi="Calibri" w:cs="Calibri"/>
                <w:i/>
                <w:color w:val="000000"/>
                <w:sz w:val="16"/>
                <w:szCs w:val="16"/>
              </w:rPr>
              <w:t>d</w:t>
            </w:r>
            <w:r w:rsidRPr="002A2A52">
              <w:rPr>
                <w:rFonts w:ascii="Calibri" w:hAnsi="Calibri" w:cs="Calibri"/>
                <w:color w:val="000000"/>
                <w:sz w:val="16"/>
                <w:szCs w:val="16"/>
                <w:vertAlign w:val="subscript"/>
              </w:rPr>
              <w:t>u</w:t>
            </w:r>
            <w:proofErr w:type="spellEnd"/>
            <w:r>
              <w:rPr>
                <w:rFonts w:ascii="Arial" w:hAnsi="Arial" w:cs="Arial"/>
                <w:color w:val="000000"/>
                <w:sz w:val="16"/>
                <w:szCs w:val="16"/>
              </w:rPr>
              <w:br/>
              <w:t xml:space="preserve"> (000€)</w:t>
            </w:r>
          </w:p>
        </w:tc>
        <w:tc>
          <w:tcPr>
            <w:tcW w:w="539" w:type="pct"/>
            <w:gridSpan w:val="3"/>
            <w:tcBorders>
              <w:top w:val="single" w:sz="4" w:space="0" w:color="auto"/>
              <w:left w:val="nil"/>
              <w:bottom w:val="single" w:sz="4" w:space="0" w:color="auto"/>
              <w:right w:val="nil"/>
            </w:tcBorders>
            <w:shd w:val="clear" w:color="auto" w:fill="auto"/>
            <w:vAlign w:val="bottom"/>
            <w:hideMark/>
          </w:tcPr>
          <w:p w:rsidR="003E694C" w:rsidRDefault="003E694C" w:rsidP="001752C2">
            <w:pPr>
              <w:spacing w:after="120"/>
              <w:jc w:val="right"/>
              <w:rPr>
                <w:rFonts w:ascii="Arial" w:hAnsi="Arial" w:cs="Arial"/>
                <w:color w:val="000000"/>
                <w:sz w:val="16"/>
                <w:szCs w:val="16"/>
              </w:rPr>
            </w:pPr>
            <w:r>
              <w:rPr>
                <w:rFonts w:ascii="Arial" w:hAnsi="Arial" w:cs="Arial"/>
                <w:color w:val="000000"/>
                <w:sz w:val="16"/>
                <w:szCs w:val="16"/>
              </w:rPr>
              <w:t xml:space="preserve">IQR </w:t>
            </w:r>
            <w:proofErr w:type="spellStart"/>
            <w:r w:rsidRPr="002A2A52">
              <w:rPr>
                <w:rFonts w:ascii="Calibri" w:hAnsi="Calibri" w:cs="Calibri"/>
                <w:i/>
                <w:color w:val="000000"/>
                <w:sz w:val="16"/>
                <w:szCs w:val="16"/>
              </w:rPr>
              <w:t>d</w:t>
            </w:r>
            <w:r w:rsidRPr="002A2A52">
              <w:rPr>
                <w:rFonts w:ascii="Calibri" w:hAnsi="Calibri" w:cs="Calibri"/>
                <w:color w:val="000000"/>
                <w:sz w:val="16"/>
                <w:szCs w:val="16"/>
                <w:vertAlign w:val="subscript"/>
              </w:rPr>
              <w:t>u</w:t>
            </w:r>
            <w:proofErr w:type="spellEnd"/>
            <w:r>
              <w:rPr>
                <w:rFonts w:ascii="Arial" w:hAnsi="Arial" w:cs="Arial"/>
                <w:color w:val="000000"/>
                <w:sz w:val="16"/>
                <w:szCs w:val="16"/>
              </w:rPr>
              <w:t xml:space="preserve"> </w:t>
            </w:r>
            <w:r>
              <w:rPr>
                <w:rFonts w:ascii="Arial" w:hAnsi="Arial" w:cs="Arial"/>
                <w:color w:val="000000"/>
                <w:sz w:val="16"/>
                <w:szCs w:val="16"/>
              </w:rPr>
              <w:br/>
              <w:t>(000€)</w:t>
            </w:r>
          </w:p>
        </w:tc>
        <w:tc>
          <w:tcPr>
            <w:tcW w:w="416" w:type="pct"/>
            <w:gridSpan w:val="2"/>
            <w:tcBorders>
              <w:top w:val="single" w:sz="4" w:space="0" w:color="auto"/>
              <w:left w:val="nil"/>
              <w:bottom w:val="single" w:sz="4" w:space="0" w:color="auto"/>
              <w:right w:val="nil"/>
            </w:tcBorders>
            <w:shd w:val="clear" w:color="auto" w:fill="auto"/>
            <w:noWrap/>
            <w:vAlign w:val="center"/>
            <w:hideMark/>
          </w:tcPr>
          <w:p w:rsidR="003E694C" w:rsidRDefault="003E694C" w:rsidP="001752C2">
            <w:pPr>
              <w:spacing w:after="120"/>
              <w:jc w:val="right"/>
              <w:rPr>
                <w:rFonts w:ascii="Arial" w:hAnsi="Arial" w:cs="Arial"/>
                <w:color w:val="000000"/>
                <w:sz w:val="16"/>
                <w:szCs w:val="16"/>
              </w:rPr>
            </w:pPr>
            <w:r>
              <w:rPr>
                <w:rFonts w:ascii="Arial" w:hAnsi="Arial" w:cs="Arial"/>
                <w:color w:val="000000"/>
                <w:sz w:val="16"/>
                <w:szCs w:val="16"/>
              </w:rPr>
              <w:t xml:space="preserve">Cv </w:t>
            </w:r>
            <w:proofErr w:type="spellStart"/>
            <w:r w:rsidRPr="002A2A52">
              <w:rPr>
                <w:rFonts w:ascii="Calibri" w:hAnsi="Calibri" w:cs="Calibri"/>
                <w:i/>
                <w:color w:val="000000"/>
                <w:sz w:val="16"/>
                <w:szCs w:val="16"/>
              </w:rPr>
              <w:t>d</w:t>
            </w:r>
            <w:r w:rsidRPr="002A2A52">
              <w:rPr>
                <w:rFonts w:ascii="Calibri" w:hAnsi="Calibri" w:cs="Calibri"/>
                <w:color w:val="000000"/>
                <w:sz w:val="16"/>
                <w:szCs w:val="16"/>
                <w:vertAlign w:val="subscript"/>
              </w:rPr>
              <w:t>u</w:t>
            </w:r>
            <w:proofErr w:type="spellEnd"/>
          </w:p>
        </w:tc>
      </w:tr>
      <w:tr w:rsidR="003E694C" w:rsidRPr="00D7207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47522A" w:rsidRDefault="003E694C" w:rsidP="001752C2">
            <w:pPr>
              <w:spacing w:before="100" w:beforeAutospacing="1" w:after="60"/>
              <w:rPr>
                <w:rFonts w:ascii="Arial" w:hAnsi="Arial" w:cs="Arial"/>
                <w:b/>
                <w:color w:val="000000"/>
                <w:sz w:val="16"/>
                <w:szCs w:val="16"/>
                <w:lang w:val="en-US"/>
              </w:rPr>
            </w:pPr>
            <w:r w:rsidRPr="0047522A">
              <w:rPr>
                <w:rFonts w:ascii="Arial" w:hAnsi="Arial" w:cs="Arial"/>
                <w:b/>
                <w:color w:val="000000"/>
                <w:sz w:val="16"/>
                <w:szCs w:val="16"/>
                <w:lang w:val="en-US"/>
              </w:rPr>
              <w:t>Income from sales and Services (Turnover)</w:t>
            </w:r>
          </w:p>
        </w:tc>
        <w:tc>
          <w:tcPr>
            <w:tcW w:w="406"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1,0</w:t>
            </w:r>
          </w:p>
        </w:tc>
        <w:tc>
          <w:tcPr>
            <w:tcW w:w="578"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90,8</w:t>
            </w:r>
          </w:p>
        </w:tc>
        <w:tc>
          <w:tcPr>
            <w:tcW w:w="254"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right"/>
              <w:rPr>
                <w:rFonts w:ascii="Arial" w:hAnsi="Arial" w:cs="Arial"/>
                <w:b/>
                <w:color w:val="000000"/>
                <w:sz w:val="16"/>
                <w:szCs w:val="16"/>
              </w:rPr>
            </w:pP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-0,1</w:t>
            </w: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gridSpan w:val="2"/>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-1704,4</w:t>
            </w:r>
          </w:p>
        </w:tc>
      </w:tr>
      <w:tr w:rsidR="003E694C" w:rsidRPr="00D7207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C60B37" w:rsidRDefault="003E694C" w:rsidP="001752C2">
            <w:pPr>
              <w:spacing w:before="100" w:beforeAutospacing="1" w:after="60"/>
              <w:rPr>
                <w:rFonts w:ascii="Arial" w:hAnsi="Arial" w:cs="Arial"/>
                <w:b/>
                <w:color w:val="000000"/>
                <w:sz w:val="16"/>
                <w:szCs w:val="16"/>
                <w:lang w:val="en-US"/>
              </w:rPr>
            </w:pPr>
            <w:r w:rsidRPr="0047522A">
              <w:rPr>
                <w:rFonts w:ascii="Arial" w:hAnsi="Arial" w:cs="Arial"/>
                <w:b/>
                <w:color w:val="000000"/>
                <w:sz w:val="16"/>
                <w:szCs w:val="16"/>
                <w:lang w:val="en-US"/>
              </w:rPr>
              <w:t>Changes in internal work capitalized under fixed assets</w:t>
            </w:r>
            <w:r w:rsidRPr="00C60B37">
              <w:rPr>
                <w:rFonts w:ascii="SFRM1095" w:hAnsi="SFRM1095" w:cs="SFRM1095"/>
                <w:lang w:val="en-US"/>
              </w:rPr>
              <w:t xml:space="preserve"> </w:t>
            </w:r>
          </w:p>
        </w:tc>
        <w:tc>
          <w:tcPr>
            <w:tcW w:w="406"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0,5</w:t>
            </w:r>
          </w:p>
        </w:tc>
        <w:tc>
          <w:tcPr>
            <w:tcW w:w="578"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98,9</w:t>
            </w:r>
          </w:p>
        </w:tc>
        <w:tc>
          <w:tcPr>
            <w:tcW w:w="254"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right"/>
              <w:rPr>
                <w:rFonts w:ascii="Arial" w:hAnsi="Arial" w:cs="Arial"/>
                <w:b/>
                <w:color w:val="000000"/>
                <w:sz w:val="16"/>
                <w:szCs w:val="16"/>
              </w:rPr>
            </w:pP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-0,9</w:t>
            </w: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gridSpan w:val="2"/>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-84,2</w:t>
            </w:r>
          </w:p>
        </w:tc>
      </w:tr>
      <w:tr w:rsidR="003E694C" w:rsidRPr="00D7207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47522A" w:rsidRDefault="003E694C" w:rsidP="001752C2">
            <w:pPr>
              <w:spacing w:before="100" w:beforeAutospacing="1" w:after="60"/>
              <w:rPr>
                <w:rFonts w:ascii="Arial" w:hAnsi="Arial" w:cs="Arial"/>
                <w:b/>
                <w:color w:val="000000"/>
                <w:sz w:val="16"/>
                <w:szCs w:val="16"/>
                <w:lang w:val="en-US"/>
              </w:rPr>
            </w:pPr>
            <w:r w:rsidRPr="00C60B37">
              <w:rPr>
                <w:rFonts w:ascii="Arial" w:hAnsi="Arial" w:cs="Arial"/>
                <w:b/>
                <w:color w:val="000000"/>
                <w:sz w:val="16"/>
                <w:szCs w:val="16"/>
                <w:lang w:val="en-US"/>
              </w:rPr>
              <w:t>Changes in contract work in progress</w:t>
            </w:r>
          </w:p>
        </w:tc>
        <w:tc>
          <w:tcPr>
            <w:tcW w:w="406"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1,0</w:t>
            </w:r>
          </w:p>
        </w:tc>
        <w:tc>
          <w:tcPr>
            <w:tcW w:w="578"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95,0</w:t>
            </w:r>
          </w:p>
        </w:tc>
        <w:tc>
          <w:tcPr>
            <w:tcW w:w="254"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right"/>
              <w:rPr>
                <w:rFonts w:ascii="Arial" w:hAnsi="Arial" w:cs="Arial"/>
                <w:b/>
                <w:color w:val="000000"/>
                <w:sz w:val="16"/>
                <w:szCs w:val="16"/>
              </w:rPr>
            </w:pP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-1,7</w:t>
            </w: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gridSpan w:val="2"/>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-104,4</w:t>
            </w:r>
          </w:p>
        </w:tc>
      </w:tr>
      <w:tr w:rsidR="003E694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47522A" w:rsidRDefault="003E694C" w:rsidP="001752C2">
            <w:pPr>
              <w:spacing w:before="100" w:beforeAutospacing="1" w:after="60"/>
              <w:rPr>
                <w:rFonts w:ascii="Arial" w:hAnsi="Arial" w:cs="Arial"/>
                <w:color w:val="000000"/>
                <w:sz w:val="16"/>
                <w:szCs w:val="16"/>
                <w:lang w:val="en-US"/>
              </w:rPr>
            </w:pPr>
            <w:r w:rsidRPr="0047522A">
              <w:rPr>
                <w:rFonts w:ascii="Arial" w:hAnsi="Arial" w:cs="Arial"/>
                <w:color w:val="000000"/>
                <w:sz w:val="16"/>
                <w:szCs w:val="16"/>
                <w:lang w:val="en-US"/>
              </w:rPr>
              <w:t>Changes in stocks of finished and semi-finished products</w:t>
            </w:r>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1,8</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82,1</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-0,8</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-236,5</w:t>
            </w:r>
          </w:p>
        </w:tc>
      </w:tr>
      <w:tr w:rsidR="003E694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47522A" w:rsidRDefault="003E694C" w:rsidP="001752C2">
            <w:pPr>
              <w:spacing w:before="100" w:beforeAutospacing="1" w:after="60"/>
              <w:rPr>
                <w:rFonts w:ascii="Arial" w:hAnsi="Arial" w:cs="Arial"/>
                <w:color w:val="000000"/>
                <w:sz w:val="16"/>
                <w:szCs w:val="16"/>
                <w:lang w:val="en-US"/>
              </w:rPr>
            </w:pPr>
            <w:r w:rsidRPr="0047522A">
              <w:rPr>
                <w:rFonts w:ascii="Arial" w:hAnsi="Arial" w:cs="Arial"/>
                <w:color w:val="000000"/>
                <w:sz w:val="16"/>
                <w:szCs w:val="16"/>
                <w:lang w:val="en-US"/>
              </w:rPr>
              <w:t>Other income and earnings (neither financial, nor extraordinary)</w:t>
            </w:r>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12,1</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56,5</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-1,3</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-108,4</w:t>
            </w:r>
          </w:p>
        </w:tc>
      </w:tr>
      <w:tr w:rsidR="003E694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Default="003E694C" w:rsidP="001752C2">
            <w:pPr>
              <w:spacing w:before="100" w:beforeAutospacing="1" w:after="60"/>
              <w:rPr>
                <w:rFonts w:ascii="Arial" w:hAnsi="Arial" w:cs="Arial"/>
                <w:color w:val="000000"/>
                <w:sz w:val="16"/>
                <w:szCs w:val="16"/>
              </w:rPr>
            </w:pPr>
            <w:proofErr w:type="spellStart"/>
            <w:r>
              <w:rPr>
                <w:rFonts w:ascii="Arial" w:hAnsi="Arial" w:cs="Arial"/>
                <w:color w:val="000000"/>
                <w:sz w:val="16"/>
                <w:szCs w:val="16"/>
              </w:rPr>
              <w:t>Purchases</w:t>
            </w:r>
            <w:proofErr w:type="spellEnd"/>
            <w:r>
              <w:rPr>
                <w:rFonts w:ascii="Arial" w:hAnsi="Arial" w:cs="Arial"/>
                <w:color w:val="000000"/>
                <w:sz w:val="16"/>
                <w:szCs w:val="16"/>
              </w:rPr>
              <w:t xml:space="preserve"> of </w:t>
            </w:r>
            <w:proofErr w:type="spellStart"/>
            <w:r>
              <w:rPr>
                <w:rFonts w:ascii="Arial" w:hAnsi="Arial" w:cs="Arial"/>
                <w:color w:val="000000"/>
                <w:sz w:val="16"/>
                <w:szCs w:val="16"/>
              </w:rPr>
              <w:t>Goods</w:t>
            </w:r>
            <w:proofErr w:type="spellEnd"/>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12,3</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58,7</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-3,7</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5,1</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-63,7</w:t>
            </w:r>
          </w:p>
        </w:tc>
      </w:tr>
      <w:tr w:rsidR="003E694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Default="003E694C" w:rsidP="001752C2">
            <w:pPr>
              <w:spacing w:before="100" w:beforeAutospacing="1" w:after="60"/>
              <w:rPr>
                <w:rFonts w:ascii="Arial" w:hAnsi="Arial" w:cs="Arial"/>
                <w:color w:val="000000"/>
                <w:sz w:val="16"/>
                <w:szCs w:val="16"/>
              </w:rPr>
            </w:pPr>
            <w:proofErr w:type="spellStart"/>
            <w:r>
              <w:rPr>
                <w:rFonts w:ascii="Arial" w:hAnsi="Arial" w:cs="Arial"/>
                <w:color w:val="000000"/>
                <w:sz w:val="16"/>
                <w:szCs w:val="16"/>
              </w:rPr>
              <w:t>Purchases</w:t>
            </w:r>
            <w:proofErr w:type="spellEnd"/>
            <w:r>
              <w:rPr>
                <w:rFonts w:ascii="Arial" w:hAnsi="Arial" w:cs="Arial"/>
                <w:color w:val="000000"/>
                <w:sz w:val="16"/>
                <w:szCs w:val="16"/>
              </w:rPr>
              <w:t xml:space="preserve"> of Services</w:t>
            </w:r>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4,2</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29,0</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0,2</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12,8</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1001,2</w:t>
            </w:r>
          </w:p>
        </w:tc>
      </w:tr>
      <w:tr w:rsidR="003E694C" w:rsidRPr="00D7207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D7207C" w:rsidRDefault="003E694C" w:rsidP="001752C2">
            <w:pPr>
              <w:spacing w:before="100" w:beforeAutospacing="1" w:after="60"/>
              <w:rPr>
                <w:rFonts w:ascii="Arial" w:hAnsi="Arial" w:cs="Arial"/>
                <w:b/>
                <w:color w:val="000000"/>
                <w:sz w:val="16"/>
                <w:szCs w:val="16"/>
              </w:rPr>
            </w:pPr>
            <w:proofErr w:type="spellStart"/>
            <w:r>
              <w:rPr>
                <w:rFonts w:ascii="Arial" w:hAnsi="Arial" w:cs="Arial"/>
                <w:b/>
                <w:color w:val="000000"/>
                <w:sz w:val="16"/>
                <w:szCs w:val="16"/>
              </w:rPr>
              <w:t>Purchases</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goods</w:t>
            </w:r>
            <w:proofErr w:type="spellEnd"/>
            <w:r>
              <w:rPr>
                <w:rFonts w:ascii="Arial" w:hAnsi="Arial" w:cs="Arial"/>
                <w:b/>
                <w:color w:val="000000"/>
                <w:sz w:val="16"/>
                <w:szCs w:val="16"/>
              </w:rPr>
              <w:t>/</w:t>
            </w:r>
            <w:proofErr w:type="spellStart"/>
            <w:r>
              <w:rPr>
                <w:rFonts w:ascii="Arial" w:hAnsi="Arial" w:cs="Arial"/>
                <w:b/>
                <w:color w:val="000000"/>
                <w:sz w:val="16"/>
                <w:szCs w:val="16"/>
              </w:rPr>
              <w:t>services</w:t>
            </w:r>
            <w:proofErr w:type="spellEnd"/>
          </w:p>
        </w:tc>
        <w:tc>
          <w:tcPr>
            <w:tcW w:w="406"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1,0</w:t>
            </w:r>
          </w:p>
        </w:tc>
        <w:tc>
          <w:tcPr>
            <w:tcW w:w="578"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58,0</w:t>
            </w:r>
          </w:p>
        </w:tc>
        <w:tc>
          <w:tcPr>
            <w:tcW w:w="254"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right"/>
              <w:rPr>
                <w:rFonts w:ascii="Arial" w:hAnsi="Arial" w:cs="Arial"/>
                <w:b/>
                <w:color w:val="000000"/>
                <w:sz w:val="16"/>
                <w:szCs w:val="16"/>
              </w:rPr>
            </w:pP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-3,5</w:t>
            </w: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-0,6</w:t>
            </w:r>
          </w:p>
        </w:tc>
        <w:tc>
          <w:tcPr>
            <w:tcW w:w="417"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9,6</w:t>
            </w:r>
          </w:p>
        </w:tc>
        <w:tc>
          <w:tcPr>
            <w:tcW w:w="417" w:type="pct"/>
            <w:gridSpan w:val="2"/>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-51,7</w:t>
            </w:r>
          </w:p>
        </w:tc>
      </w:tr>
      <w:tr w:rsidR="003E694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47522A" w:rsidRDefault="003E694C" w:rsidP="001752C2">
            <w:pPr>
              <w:spacing w:before="100" w:beforeAutospacing="1" w:after="60"/>
              <w:rPr>
                <w:rFonts w:ascii="Arial" w:hAnsi="Arial" w:cs="Arial"/>
                <w:color w:val="000000"/>
                <w:sz w:val="16"/>
                <w:szCs w:val="16"/>
                <w:lang w:val="en-US"/>
              </w:rPr>
            </w:pPr>
            <w:r w:rsidRPr="0047522A">
              <w:rPr>
                <w:rFonts w:ascii="Arial" w:hAnsi="Arial" w:cs="Arial"/>
                <w:color w:val="000000"/>
                <w:sz w:val="16"/>
                <w:szCs w:val="16"/>
                <w:lang w:val="en-US"/>
              </w:rPr>
              <w:t>Use of third party assets</w:t>
            </w:r>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4,6</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77,5</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0,3</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115,7</w:t>
            </w:r>
          </w:p>
        </w:tc>
      </w:tr>
      <w:tr w:rsidR="003E694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Default="003E694C" w:rsidP="001752C2">
            <w:pPr>
              <w:spacing w:before="100" w:beforeAutospacing="1" w:after="60"/>
              <w:rPr>
                <w:rFonts w:ascii="Arial" w:hAnsi="Arial" w:cs="Arial"/>
                <w:color w:val="000000"/>
                <w:sz w:val="16"/>
                <w:szCs w:val="16"/>
              </w:rPr>
            </w:pPr>
            <w:proofErr w:type="spellStart"/>
            <w:r w:rsidRPr="0047522A">
              <w:rPr>
                <w:rFonts w:ascii="Arial" w:hAnsi="Arial" w:cs="Arial"/>
                <w:color w:val="000000"/>
                <w:sz w:val="16"/>
                <w:szCs w:val="16"/>
              </w:rPr>
              <w:t>Other</w:t>
            </w:r>
            <w:proofErr w:type="spellEnd"/>
            <w:r w:rsidRPr="0047522A">
              <w:rPr>
                <w:rFonts w:ascii="Arial" w:hAnsi="Arial" w:cs="Arial"/>
                <w:color w:val="000000"/>
                <w:sz w:val="16"/>
                <w:szCs w:val="16"/>
              </w:rPr>
              <w:t xml:space="preserve"> </w:t>
            </w:r>
            <w:proofErr w:type="spellStart"/>
            <w:r w:rsidRPr="0047522A">
              <w:rPr>
                <w:rFonts w:ascii="Arial" w:hAnsi="Arial" w:cs="Arial"/>
                <w:color w:val="000000"/>
                <w:sz w:val="16"/>
                <w:szCs w:val="16"/>
              </w:rPr>
              <w:t>operating</w:t>
            </w:r>
            <w:proofErr w:type="spellEnd"/>
            <w:r w:rsidRPr="0047522A">
              <w:rPr>
                <w:rFonts w:ascii="Arial" w:hAnsi="Arial" w:cs="Arial"/>
                <w:color w:val="000000"/>
                <w:sz w:val="16"/>
                <w:szCs w:val="16"/>
              </w:rPr>
              <w:t xml:space="preserve"> </w:t>
            </w:r>
            <w:proofErr w:type="spellStart"/>
            <w:r w:rsidRPr="0047522A">
              <w:rPr>
                <w:rFonts w:ascii="Arial" w:hAnsi="Arial" w:cs="Arial"/>
                <w:color w:val="000000"/>
                <w:sz w:val="16"/>
                <w:szCs w:val="16"/>
              </w:rPr>
              <w:t>charges</w:t>
            </w:r>
            <w:proofErr w:type="spellEnd"/>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13,9</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11,9</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-1,2</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6,9</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-84,8</w:t>
            </w:r>
          </w:p>
        </w:tc>
      </w:tr>
      <w:tr w:rsidR="003E694C" w:rsidRPr="00D7207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D7207C" w:rsidRDefault="003E694C" w:rsidP="001752C2">
            <w:pPr>
              <w:spacing w:before="100" w:beforeAutospacing="1" w:after="60"/>
              <w:rPr>
                <w:rFonts w:ascii="Arial" w:hAnsi="Arial" w:cs="Arial"/>
                <w:b/>
                <w:color w:val="000000"/>
                <w:sz w:val="16"/>
                <w:szCs w:val="16"/>
              </w:rPr>
            </w:pPr>
            <w:proofErr w:type="spellStart"/>
            <w:r>
              <w:rPr>
                <w:rFonts w:ascii="Arial" w:hAnsi="Arial" w:cs="Arial"/>
                <w:b/>
                <w:color w:val="000000"/>
                <w:sz w:val="16"/>
                <w:szCs w:val="16"/>
              </w:rPr>
              <w:t>Labor</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Cost</w:t>
            </w:r>
            <w:proofErr w:type="spellEnd"/>
          </w:p>
        </w:tc>
        <w:tc>
          <w:tcPr>
            <w:tcW w:w="406"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4,6</w:t>
            </w:r>
          </w:p>
        </w:tc>
        <w:tc>
          <w:tcPr>
            <w:tcW w:w="578"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82,8</w:t>
            </w:r>
          </w:p>
        </w:tc>
        <w:tc>
          <w:tcPr>
            <w:tcW w:w="254"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right"/>
              <w:rPr>
                <w:rFonts w:ascii="Arial" w:hAnsi="Arial" w:cs="Arial"/>
                <w:b/>
                <w:color w:val="000000"/>
                <w:sz w:val="16"/>
                <w:szCs w:val="16"/>
              </w:rPr>
            </w:pP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1,4</w:t>
            </w: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0,0</w:t>
            </w:r>
          </w:p>
        </w:tc>
        <w:tc>
          <w:tcPr>
            <w:tcW w:w="417" w:type="pct"/>
            <w:gridSpan w:val="2"/>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35,8</w:t>
            </w:r>
          </w:p>
        </w:tc>
      </w:tr>
      <w:tr w:rsidR="003E694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Default="003E694C" w:rsidP="001752C2">
            <w:pPr>
              <w:spacing w:before="100" w:beforeAutospacing="1" w:after="60"/>
              <w:rPr>
                <w:rFonts w:ascii="Arial" w:hAnsi="Arial" w:cs="Arial"/>
                <w:color w:val="000000"/>
                <w:sz w:val="16"/>
                <w:szCs w:val="16"/>
              </w:rPr>
            </w:pPr>
            <w:proofErr w:type="spellStart"/>
            <w:r>
              <w:rPr>
                <w:rFonts w:ascii="Arial" w:hAnsi="Arial" w:cs="Arial"/>
                <w:color w:val="000000"/>
                <w:sz w:val="16"/>
                <w:szCs w:val="16"/>
              </w:rPr>
              <w:t>A</w:t>
            </w:r>
            <w:r w:rsidRPr="00FA3777">
              <w:rPr>
                <w:rFonts w:ascii="Arial" w:hAnsi="Arial" w:cs="Arial"/>
                <w:color w:val="000000"/>
                <w:sz w:val="16"/>
                <w:szCs w:val="16"/>
              </w:rPr>
              <w:t>mortization</w:t>
            </w:r>
            <w:proofErr w:type="spellEnd"/>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3,0</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64,8</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-3,8</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0,0</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0,7</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-12,4</w:t>
            </w:r>
          </w:p>
        </w:tc>
      </w:tr>
      <w:tr w:rsidR="003E694C" w:rsidRPr="00D7207C" w:rsidTr="001752C2">
        <w:trPr>
          <w:gridAfter w:val="1"/>
          <w:wAfter w:w="18" w:type="pct"/>
          <w:trHeight w:val="225"/>
        </w:trPr>
        <w:tc>
          <w:tcPr>
            <w:tcW w:w="1832" w:type="pct"/>
            <w:tcBorders>
              <w:top w:val="nil"/>
              <w:left w:val="nil"/>
              <w:bottom w:val="nil"/>
              <w:right w:val="nil"/>
            </w:tcBorders>
            <w:shd w:val="clear" w:color="auto" w:fill="auto"/>
            <w:vAlign w:val="bottom"/>
            <w:hideMark/>
          </w:tcPr>
          <w:p w:rsidR="003E694C" w:rsidRPr="00D7207C" w:rsidRDefault="003E694C" w:rsidP="001752C2">
            <w:pPr>
              <w:spacing w:before="100" w:beforeAutospacing="1" w:after="60"/>
              <w:rPr>
                <w:rFonts w:ascii="Arial" w:hAnsi="Arial" w:cs="Arial"/>
                <w:b/>
                <w:color w:val="000000"/>
                <w:sz w:val="16"/>
                <w:szCs w:val="16"/>
              </w:rPr>
            </w:pPr>
            <w:r>
              <w:rPr>
                <w:rFonts w:ascii="Arial" w:hAnsi="Arial" w:cs="Arial"/>
                <w:b/>
                <w:color w:val="000000"/>
                <w:sz w:val="16"/>
                <w:szCs w:val="16"/>
              </w:rPr>
              <w:t xml:space="preserve">Value </w:t>
            </w:r>
            <w:proofErr w:type="spellStart"/>
            <w:r>
              <w:rPr>
                <w:rFonts w:ascii="Arial" w:hAnsi="Arial" w:cs="Arial"/>
                <w:b/>
                <w:color w:val="000000"/>
                <w:sz w:val="16"/>
                <w:szCs w:val="16"/>
              </w:rPr>
              <w:t>Added</w:t>
            </w:r>
            <w:proofErr w:type="spellEnd"/>
            <w:r w:rsidRPr="00D7207C">
              <w:rPr>
                <w:rFonts w:ascii="Arial" w:hAnsi="Arial" w:cs="Arial"/>
                <w:b/>
                <w:color w:val="000000"/>
                <w:sz w:val="16"/>
                <w:szCs w:val="16"/>
              </w:rPr>
              <w:t xml:space="preserve"> </w:t>
            </w:r>
          </w:p>
        </w:tc>
        <w:tc>
          <w:tcPr>
            <w:tcW w:w="406"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1,7</w:t>
            </w:r>
          </w:p>
        </w:tc>
        <w:tc>
          <w:tcPr>
            <w:tcW w:w="578" w:type="pct"/>
            <w:tcBorders>
              <w:top w:val="nil"/>
              <w:left w:val="nil"/>
              <w:bottom w:val="nil"/>
              <w:right w:val="nil"/>
            </w:tcBorders>
            <w:shd w:val="clear" w:color="auto" w:fill="auto"/>
            <w:noWrap/>
            <w:vAlign w:val="bottom"/>
            <w:hideMark/>
          </w:tcPr>
          <w:p w:rsidR="003E694C" w:rsidRPr="00D7207C" w:rsidRDefault="003E694C" w:rsidP="001752C2">
            <w:pPr>
              <w:spacing w:before="100" w:beforeAutospacing="1" w:after="60"/>
              <w:jc w:val="right"/>
              <w:rPr>
                <w:rFonts w:ascii="Arial" w:hAnsi="Arial" w:cs="Arial"/>
                <w:b/>
                <w:color w:val="000000"/>
                <w:sz w:val="16"/>
                <w:szCs w:val="16"/>
              </w:rPr>
            </w:pPr>
            <w:r w:rsidRPr="00D7207C">
              <w:rPr>
                <w:rFonts w:ascii="Arial" w:hAnsi="Arial" w:cs="Arial"/>
                <w:b/>
                <w:color w:val="000000"/>
                <w:sz w:val="16"/>
                <w:szCs w:val="16"/>
              </w:rPr>
              <w:t>46,9</w:t>
            </w:r>
          </w:p>
        </w:tc>
        <w:tc>
          <w:tcPr>
            <w:tcW w:w="254"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right"/>
              <w:rPr>
                <w:rFonts w:ascii="Arial" w:hAnsi="Arial" w:cs="Arial"/>
                <w:b/>
                <w:color w:val="000000"/>
                <w:sz w:val="16"/>
                <w:szCs w:val="16"/>
              </w:rPr>
            </w:pP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-0,3</w:t>
            </w:r>
          </w:p>
        </w:tc>
        <w:tc>
          <w:tcPr>
            <w:tcW w:w="539" w:type="pct"/>
            <w:gridSpan w:val="2"/>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1,3</w:t>
            </w:r>
          </w:p>
        </w:tc>
        <w:tc>
          <w:tcPr>
            <w:tcW w:w="417" w:type="pct"/>
            <w:tcBorders>
              <w:top w:val="nil"/>
              <w:left w:val="nil"/>
              <w:bottom w:val="nil"/>
              <w:right w:val="nil"/>
            </w:tcBorders>
            <w:shd w:val="clear" w:color="auto" w:fill="auto"/>
            <w:noWrap/>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12,3</w:t>
            </w:r>
          </w:p>
        </w:tc>
        <w:tc>
          <w:tcPr>
            <w:tcW w:w="417" w:type="pct"/>
            <w:gridSpan w:val="2"/>
            <w:vAlign w:val="bottom"/>
          </w:tcPr>
          <w:p w:rsidR="003E694C" w:rsidRPr="00D7207C" w:rsidRDefault="003E694C" w:rsidP="001752C2">
            <w:pPr>
              <w:spacing w:before="100" w:beforeAutospacing="1" w:after="60"/>
              <w:jc w:val="center"/>
              <w:rPr>
                <w:rFonts w:ascii="Arial" w:hAnsi="Arial" w:cs="Arial"/>
                <w:b/>
                <w:color w:val="000000"/>
                <w:sz w:val="16"/>
                <w:szCs w:val="16"/>
              </w:rPr>
            </w:pPr>
            <w:r w:rsidRPr="00D7207C">
              <w:rPr>
                <w:rFonts w:ascii="Arial" w:hAnsi="Arial" w:cs="Arial"/>
                <w:b/>
                <w:color w:val="000000"/>
                <w:sz w:val="16"/>
                <w:szCs w:val="16"/>
              </w:rPr>
              <w:t>-610,0</w:t>
            </w:r>
          </w:p>
        </w:tc>
      </w:tr>
      <w:tr w:rsidR="003E694C" w:rsidTr="00AA4AA6">
        <w:trPr>
          <w:gridAfter w:val="1"/>
          <w:wAfter w:w="18" w:type="pct"/>
          <w:trHeight w:val="225"/>
        </w:trPr>
        <w:tc>
          <w:tcPr>
            <w:tcW w:w="1832" w:type="pct"/>
            <w:tcBorders>
              <w:top w:val="nil"/>
              <w:left w:val="nil"/>
              <w:bottom w:val="nil"/>
              <w:right w:val="nil"/>
            </w:tcBorders>
            <w:shd w:val="clear" w:color="auto" w:fill="auto"/>
            <w:vAlign w:val="bottom"/>
            <w:hideMark/>
          </w:tcPr>
          <w:p w:rsidR="003E694C" w:rsidRDefault="003E694C" w:rsidP="001752C2">
            <w:pPr>
              <w:spacing w:before="100" w:beforeAutospacing="1" w:after="60"/>
              <w:rPr>
                <w:rFonts w:ascii="Arial" w:hAnsi="Arial" w:cs="Arial"/>
                <w:color w:val="000000"/>
                <w:sz w:val="16"/>
                <w:szCs w:val="16"/>
              </w:rPr>
            </w:pPr>
            <w:proofErr w:type="spellStart"/>
            <w:r>
              <w:rPr>
                <w:rFonts w:ascii="Arial" w:hAnsi="Arial" w:cs="Arial"/>
                <w:color w:val="000000"/>
                <w:sz w:val="16"/>
                <w:szCs w:val="16"/>
              </w:rPr>
              <w:t>Gross</w:t>
            </w:r>
            <w:proofErr w:type="spellEnd"/>
            <w:r>
              <w:rPr>
                <w:rFonts w:ascii="Arial" w:hAnsi="Arial" w:cs="Arial"/>
                <w:color w:val="000000"/>
                <w:sz w:val="16"/>
                <w:szCs w:val="16"/>
              </w:rPr>
              <w:t xml:space="preserve"> Operating </w:t>
            </w:r>
            <w:proofErr w:type="spellStart"/>
            <w:r>
              <w:rPr>
                <w:rFonts w:ascii="Arial" w:hAnsi="Arial" w:cs="Arial"/>
                <w:color w:val="000000"/>
                <w:sz w:val="16"/>
                <w:szCs w:val="16"/>
              </w:rPr>
              <w:t>Margin</w:t>
            </w:r>
            <w:proofErr w:type="spellEnd"/>
          </w:p>
        </w:tc>
        <w:tc>
          <w:tcPr>
            <w:tcW w:w="406"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3,0</w:t>
            </w:r>
          </w:p>
        </w:tc>
        <w:tc>
          <w:tcPr>
            <w:tcW w:w="578" w:type="pct"/>
            <w:tcBorders>
              <w:top w:val="nil"/>
              <w:left w:val="nil"/>
              <w:bottom w:val="nil"/>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35,2</w:t>
            </w:r>
          </w:p>
        </w:tc>
        <w:tc>
          <w:tcPr>
            <w:tcW w:w="254" w:type="pct"/>
            <w:tcBorders>
              <w:top w:val="nil"/>
              <w:left w:val="nil"/>
              <w:bottom w:val="nil"/>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-1,7</w:t>
            </w:r>
          </w:p>
        </w:tc>
        <w:tc>
          <w:tcPr>
            <w:tcW w:w="539" w:type="pct"/>
            <w:gridSpan w:val="2"/>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1,1</w:t>
            </w:r>
          </w:p>
        </w:tc>
        <w:tc>
          <w:tcPr>
            <w:tcW w:w="417" w:type="pct"/>
            <w:tcBorders>
              <w:top w:val="nil"/>
              <w:left w:val="nil"/>
              <w:bottom w:val="nil"/>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11,0</w:t>
            </w:r>
          </w:p>
        </w:tc>
        <w:tc>
          <w:tcPr>
            <w:tcW w:w="417" w:type="pct"/>
            <w:gridSpan w:val="2"/>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-102,1</w:t>
            </w:r>
          </w:p>
        </w:tc>
      </w:tr>
      <w:tr w:rsidR="003E694C" w:rsidTr="00AA4AA6">
        <w:trPr>
          <w:gridAfter w:val="1"/>
          <w:wAfter w:w="18" w:type="pct"/>
          <w:trHeight w:val="225"/>
        </w:trPr>
        <w:tc>
          <w:tcPr>
            <w:tcW w:w="1832" w:type="pct"/>
            <w:tcBorders>
              <w:top w:val="nil"/>
              <w:left w:val="nil"/>
              <w:bottom w:val="single" w:sz="4" w:space="0" w:color="auto"/>
              <w:right w:val="nil"/>
            </w:tcBorders>
            <w:shd w:val="clear" w:color="auto" w:fill="auto"/>
            <w:vAlign w:val="bottom"/>
            <w:hideMark/>
          </w:tcPr>
          <w:p w:rsidR="003E694C" w:rsidRDefault="003E694C" w:rsidP="001752C2">
            <w:pPr>
              <w:spacing w:before="100" w:beforeAutospacing="1" w:after="60"/>
              <w:rPr>
                <w:rFonts w:ascii="Arial" w:hAnsi="Arial" w:cs="Arial"/>
                <w:color w:val="000000"/>
                <w:sz w:val="16"/>
                <w:szCs w:val="16"/>
              </w:rPr>
            </w:pPr>
            <w:r>
              <w:rPr>
                <w:rFonts w:ascii="Arial" w:hAnsi="Arial" w:cs="Arial"/>
                <w:color w:val="000000"/>
                <w:sz w:val="16"/>
                <w:szCs w:val="16"/>
              </w:rPr>
              <w:t xml:space="preserve">Net Operating </w:t>
            </w:r>
            <w:proofErr w:type="spellStart"/>
            <w:r>
              <w:rPr>
                <w:rFonts w:ascii="Arial" w:hAnsi="Arial" w:cs="Arial"/>
                <w:color w:val="000000"/>
                <w:sz w:val="16"/>
                <w:szCs w:val="16"/>
              </w:rPr>
              <w:t>Margin</w:t>
            </w:r>
            <w:proofErr w:type="spellEnd"/>
          </w:p>
        </w:tc>
        <w:tc>
          <w:tcPr>
            <w:tcW w:w="406" w:type="pct"/>
            <w:tcBorders>
              <w:top w:val="nil"/>
              <w:left w:val="nil"/>
              <w:bottom w:val="single" w:sz="4" w:space="0" w:color="auto"/>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4,7</w:t>
            </w:r>
          </w:p>
        </w:tc>
        <w:tc>
          <w:tcPr>
            <w:tcW w:w="578" w:type="pct"/>
            <w:tcBorders>
              <w:top w:val="nil"/>
              <w:left w:val="nil"/>
              <w:bottom w:val="single" w:sz="4" w:space="0" w:color="auto"/>
              <w:right w:val="nil"/>
            </w:tcBorders>
            <w:shd w:val="clear" w:color="auto" w:fill="auto"/>
            <w:noWrap/>
            <w:vAlign w:val="bottom"/>
            <w:hideMark/>
          </w:tcPr>
          <w:p w:rsidR="003E694C" w:rsidRDefault="003E694C" w:rsidP="001752C2">
            <w:pPr>
              <w:spacing w:before="100" w:beforeAutospacing="1" w:after="60"/>
              <w:jc w:val="right"/>
              <w:rPr>
                <w:rFonts w:ascii="Arial" w:hAnsi="Arial" w:cs="Arial"/>
                <w:color w:val="000000"/>
                <w:sz w:val="16"/>
                <w:szCs w:val="16"/>
              </w:rPr>
            </w:pPr>
            <w:r>
              <w:rPr>
                <w:rFonts w:ascii="Arial" w:hAnsi="Arial" w:cs="Arial"/>
                <w:color w:val="000000"/>
                <w:sz w:val="16"/>
                <w:szCs w:val="16"/>
              </w:rPr>
              <w:t>31,1</w:t>
            </w:r>
          </w:p>
        </w:tc>
        <w:tc>
          <w:tcPr>
            <w:tcW w:w="254" w:type="pct"/>
            <w:tcBorders>
              <w:top w:val="nil"/>
              <w:left w:val="nil"/>
              <w:bottom w:val="single" w:sz="4" w:space="0" w:color="auto"/>
              <w:right w:val="nil"/>
            </w:tcBorders>
            <w:shd w:val="clear" w:color="auto" w:fill="auto"/>
            <w:noWrap/>
            <w:vAlign w:val="bottom"/>
          </w:tcPr>
          <w:p w:rsidR="003E694C" w:rsidRDefault="003E694C" w:rsidP="001752C2">
            <w:pPr>
              <w:spacing w:before="100" w:beforeAutospacing="1" w:after="60"/>
              <w:jc w:val="right"/>
              <w:rPr>
                <w:rFonts w:ascii="Arial" w:hAnsi="Arial" w:cs="Arial"/>
                <w:color w:val="000000"/>
                <w:sz w:val="16"/>
                <w:szCs w:val="16"/>
              </w:rPr>
            </w:pPr>
          </w:p>
        </w:tc>
        <w:tc>
          <w:tcPr>
            <w:tcW w:w="539" w:type="pct"/>
            <w:gridSpan w:val="2"/>
            <w:tcBorders>
              <w:top w:val="nil"/>
              <w:left w:val="nil"/>
              <w:bottom w:val="single" w:sz="4" w:space="0" w:color="auto"/>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3,7</w:t>
            </w:r>
          </w:p>
        </w:tc>
        <w:tc>
          <w:tcPr>
            <w:tcW w:w="539" w:type="pct"/>
            <w:gridSpan w:val="2"/>
            <w:tcBorders>
              <w:top w:val="nil"/>
              <w:left w:val="nil"/>
              <w:bottom w:val="single" w:sz="4" w:space="0" w:color="auto"/>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1,3</w:t>
            </w:r>
          </w:p>
        </w:tc>
        <w:tc>
          <w:tcPr>
            <w:tcW w:w="417" w:type="pct"/>
            <w:tcBorders>
              <w:top w:val="nil"/>
              <w:left w:val="nil"/>
              <w:bottom w:val="single" w:sz="4" w:space="0" w:color="auto"/>
              <w:right w:val="nil"/>
            </w:tcBorders>
            <w:shd w:val="clear" w:color="auto" w:fill="auto"/>
            <w:noWrap/>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13,2</w:t>
            </w:r>
          </w:p>
        </w:tc>
        <w:tc>
          <w:tcPr>
            <w:tcW w:w="417" w:type="pct"/>
            <w:gridSpan w:val="2"/>
            <w:tcBorders>
              <w:bottom w:val="single" w:sz="4" w:space="0" w:color="auto"/>
            </w:tcBorders>
            <w:vAlign w:val="bottom"/>
          </w:tcPr>
          <w:p w:rsidR="003E694C" w:rsidRDefault="003E694C" w:rsidP="001752C2">
            <w:pPr>
              <w:spacing w:before="100" w:beforeAutospacing="1" w:after="60"/>
              <w:jc w:val="center"/>
              <w:rPr>
                <w:rFonts w:ascii="Arial" w:hAnsi="Arial" w:cs="Arial"/>
                <w:color w:val="000000"/>
                <w:sz w:val="16"/>
                <w:szCs w:val="16"/>
              </w:rPr>
            </w:pPr>
            <w:r>
              <w:rPr>
                <w:rFonts w:ascii="Arial" w:hAnsi="Arial" w:cs="Arial"/>
                <w:color w:val="000000"/>
                <w:sz w:val="16"/>
                <w:szCs w:val="16"/>
              </w:rPr>
              <w:t>52,1</w:t>
            </w:r>
          </w:p>
        </w:tc>
      </w:tr>
    </w:tbl>
    <w:p w:rsidR="008B4692" w:rsidRDefault="008B4692" w:rsidP="008B4692">
      <w:pPr>
        <w:pStyle w:val="Default"/>
        <w:spacing w:line="360" w:lineRule="auto"/>
        <w:jc w:val="both"/>
        <w:rPr>
          <w:rFonts w:ascii="Times New Roman" w:hAnsi="Times New Roman" w:cs="Times New Roman"/>
        </w:rPr>
      </w:pPr>
    </w:p>
    <w:p w:rsidR="008B4692" w:rsidRDefault="003E694C" w:rsidP="008D71FF">
      <w:pPr>
        <w:pStyle w:val="Default"/>
        <w:spacing w:line="360" w:lineRule="auto"/>
        <w:jc w:val="both"/>
        <w:rPr>
          <w:rFonts w:ascii="Times New Roman" w:hAnsi="Times New Roman" w:cs="Times New Roman"/>
          <w:lang w:val="en-US"/>
        </w:rPr>
      </w:pPr>
      <w:r w:rsidRPr="00130825">
        <w:rPr>
          <w:rFonts w:ascii="Times New Roman" w:hAnsi="Times New Roman" w:cs="Times New Roman"/>
          <w:lang w:val="en-US"/>
        </w:rPr>
        <w:t>Table 2 contains</w:t>
      </w:r>
      <w:r w:rsidR="00836EFF" w:rsidRPr="00130825">
        <w:rPr>
          <w:rFonts w:ascii="Times New Roman" w:hAnsi="Times New Roman" w:cs="Times New Roman"/>
          <w:lang w:val="en-US"/>
        </w:rPr>
        <w:t xml:space="preserve"> the</w:t>
      </w:r>
      <w:r w:rsidRPr="00130825">
        <w:rPr>
          <w:rFonts w:ascii="Times New Roman" w:hAnsi="Times New Roman" w:cs="Times New Roman"/>
          <w:lang w:val="en-US"/>
        </w:rPr>
        <w:t xml:space="preserve"> </w:t>
      </w:r>
      <w:r w:rsidR="001E7AC0" w:rsidRPr="00130825">
        <w:rPr>
          <w:rFonts w:ascii="Times New Roman" w:hAnsi="Times New Roman" w:cs="Times New Roman"/>
          <w:lang w:val="en-US"/>
        </w:rPr>
        <w:t xml:space="preserve">SME </w:t>
      </w:r>
      <w:r w:rsidRPr="00130825">
        <w:rPr>
          <w:rFonts w:ascii="Times New Roman" w:hAnsi="Times New Roman" w:cs="Times New Roman"/>
          <w:lang w:val="en-US"/>
        </w:rPr>
        <w:t xml:space="preserve">coverage </w:t>
      </w:r>
      <w:r w:rsidR="00724F69" w:rsidRPr="00130825">
        <w:rPr>
          <w:rFonts w:ascii="Times New Roman" w:hAnsi="Times New Roman" w:cs="Times New Roman"/>
          <w:lang w:val="en-US"/>
        </w:rPr>
        <w:t xml:space="preserve">by source </w:t>
      </w:r>
      <w:r w:rsidRPr="00130825">
        <w:rPr>
          <w:rFonts w:ascii="Times New Roman" w:hAnsi="Times New Roman" w:cs="Times New Roman"/>
          <w:lang w:val="en-US"/>
        </w:rPr>
        <w:t xml:space="preserve">of the </w:t>
      </w:r>
      <w:r w:rsidR="001E7AC0" w:rsidRPr="00130825">
        <w:rPr>
          <w:rFonts w:ascii="Times New Roman" w:hAnsi="Times New Roman" w:cs="Times New Roman"/>
          <w:lang w:val="en-US"/>
        </w:rPr>
        <w:t>resulting integrated database</w:t>
      </w:r>
      <w:r w:rsidRPr="00130825">
        <w:rPr>
          <w:rFonts w:ascii="Times New Roman" w:hAnsi="Times New Roman" w:cs="Times New Roman"/>
          <w:lang w:val="en-US"/>
        </w:rPr>
        <w:t xml:space="preserve">, </w:t>
      </w:r>
      <w:r w:rsidR="00836EFF" w:rsidRPr="00130825">
        <w:rPr>
          <w:rFonts w:ascii="Times New Roman" w:hAnsi="Times New Roman" w:cs="Times New Roman"/>
          <w:lang w:val="en-US"/>
        </w:rPr>
        <w:t xml:space="preserve">number of units, number </w:t>
      </w:r>
      <w:r w:rsidRPr="00130825">
        <w:rPr>
          <w:rFonts w:ascii="Times New Roman" w:hAnsi="Times New Roman" w:cs="Times New Roman"/>
          <w:lang w:val="en-US"/>
        </w:rPr>
        <w:t>of employees, revenues, and value added</w:t>
      </w:r>
      <w:r w:rsidR="00157ACE" w:rsidRPr="00130825">
        <w:rPr>
          <w:rFonts w:ascii="Times New Roman" w:hAnsi="Times New Roman" w:cs="Times New Roman"/>
          <w:lang w:val="en-US"/>
        </w:rPr>
        <w:t>. A</w:t>
      </w:r>
      <w:r w:rsidR="00836EFF" w:rsidRPr="00130825">
        <w:rPr>
          <w:rFonts w:ascii="Times New Roman" w:hAnsi="Times New Roman" w:cs="Times New Roman"/>
          <w:lang w:val="en-US"/>
        </w:rPr>
        <w:t xml:space="preserve">s it can be seen, </w:t>
      </w:r>
      <w:r w:rsidRPr="00130825">
        <w:rPr>
          <w:rFonts w:ascii="Times New Roman" w:hAnsi="Times New Roman" w:cs="Times New Roman"/>
          <w:lang w:val="en-US"/>
        </w:rPr>
        <w:t>about 96% of enterprises and of employees are covered</w:t>
      </w:r>
      <w:r w:rsidR="00256FE7">
        <w:rPr>
          <w:rFonts w:ascii="Times New Roman" w:hAnsi="Times New Roman" w:cs="Times New Roman"/>
          <w:lang w:val="en-US"/>
        </w:rPr>
        <w:t>: t</w:t>
      </w:r>
      <w:r w:rsidRPr="00130825">
        <w:rPr>
          <w:rFonts w:ascii="Times New Roman" w:hAnsi="Times New Roman" w:cs="Times New Roman"/>
          <w:lang w:val="en-US"/>
        </w:rPr>
        <w:t xml:space="preserve">he SS is the most relevant administrative source in terms of </w:t>
      </w:r>
      <w:r w:rsidR="00130825" w:rsidRPr="00130825">
        <w:rPr>
          <w:rFonts w:ascii="Times New Roman" w:hAnsi="Times New Roman" w:cs="Times New Roman"/>
          <w:lang w:val="en-US"/>
        </w:rPr>
        <w:t xml:space="preserve">population </w:t>
      </w:r>
      <w:r w:rsidR="00836EFF" w:rsidRPr="00130825">
        <w:rPr>
          <w:rFonts w:ascii="Times New Roman" w:hAnsi="Times New Roman" w:cs="Times New Roman"/>
          <w:lang w:val="en-US"/>
        </w:rPr>
        <w:t>units</w:t>
      </w:r>
      <w:r w:rsidRPr="00130825">
        <w:rPr>
          <w:rFonts w:ascii="Times New Roman" w:hAnsi="Times New Roman" w:cs="Times New Roman"/>
          <w:lang w:val="en-US"/>
        </w:rPr>
        <w:t xml:space="preserve"> coverage (64%), while FS cover</w:t>
      </w:r>
      <w:r w:rsidR="00836EFF" w:rsidRPr="00130825">
        <w:rPr>
          <w:rFonts w:ascii="Times New Roman" w:hAnsi="Times New Roman" w:cs="Times New Roman"/>
          <w:lang w:val="en-US"/>
        </w:rPr>
        <w:t>s</w:t>
      </w:r>
      <w:r w:rsidRPr="00130825">
        <w:rPr>
          <w:rFonts w:ascii="Times New Roman" w:hAnsi="Times New Roman" w:cs="Times New Roman"/>
          <w:lang w:val="en-US"/>
        </w:rPr>
        <w:t xml:space="preserve"> </w:t>
      </w:r>
      <w:r w:rsidR="00836EFF" w:rsidRPr="00130825">
        <w:rPr>
          <w:rFonts w:ascii="Times New Roman" w:hAnsi="Times New Roman" w:cs="Times New Roman"/>
          <w:lang w:val="en-US"/>
        </w:rPr>
        <w:t xml:space="preserve">more than </w:t>
      </w:r>
      <w:r w:rsidRPr="00130825">
        <w:rPr>
          <w:rFonts w:ascii="Times New Roman" w:hAnsi="Times New Roman" w:cs="Times New Roman"/>
          <w:lang w:val="en-US"/>
        </w:rPr>
        <w:t>66</w:t>
      </w:r>
      <w:r w:rsidR="00130825" w:rsidRPr="00130825">
        <w:rPr>
          <w:rFonts w:ascii="Times New Roman" w:hAnsi="Times New Roman" w:cs="Times New Roman"/>
          <w:lang w:val="en-US"/>
        </w:rPr>
        <w:t>% of total population revenues.</w:t>
      </w:r>
      <w:r w:rsidR="00256FE7" w:rsidRPr="00256FE7">
        <w:rPr>
          <w:rFonts w:ascii="Times New Roman" w:hAnsi="Times New Roman" w:cs="Times New Roman"/>
          <w:lang w:val="en-US"/>
        </w:rPr>
        <w:t xml:space="preserve"> </w:t>
      </w:r>
      <w:r w:rsidR="00256FE7">
        <w:rPr>
          <w:rFonts w:ascii="Times New Roman" w:hAnsi="Times New Roman" w:cs="Times New Roman"/>
          <w:lang w:val="en-US"/>
        </w:rPr>
        <w:t>T</w:t>
      </w:r>
      <w:r w:rsidR="00256FE7" w:rsidRPr="00130825">
        <w:rPr>
          <w:rFonts w:ascii="Times New Roman" w:hAnsi="Times New Roman" w:cs="Times New Roman"/>
          <w:lang w:val="en-US"/>
        </w:rPr>
        <w:t xml:space="preserve">he </w:t>
      </w:r>
      <w:r w:rsidR="00256FE7" w:rsidRPr="00130825">
        <w:rPr>
          <w:rFonts w:ascii="Times New Roman" w:hAnsi="Times New Roman" w:cs="Times New Roman"/>
          <w:i/>
          <w:lang w:val="en-US"/>
        </w:rPr>
        <w:t>not covered units</w:t>
      </w:r>
      <w:r w:rsidR="00256FE7" w:rsidRPr="00130825">
        <w:rPr>
          <w:rFonts w:ascii="Times New Roman" w:hAnsi="Times New Roman" w:cs="Times New Roman"/>
          <w:lang w:val="en-US"/>
        </w:rPr>
        <w:t xml:space="preserve"> will be considered as </w:t>
      </w:r>
      <w:r w:rsidR="00256FE7" w:rsidRPr="00130825">
        <w:rPr>
          <w:rFonts w:ascii="Times New Roman" w:hAnsi="Times New Roman" w:cs="Times New Roman"/>
          <w:i/>
          <w:lang w:val="en-US"/>
        </w:rPr>
        <w:t>unit non-responses</w:t>
      </w:r>
      <w:r w:rsidR="00256FE7" w:rsidRPr="00130825">
        <w:rPr>
          <w:rFonts w:ascii="Times New Roman" w:hAnsi="Times New Roman" w:cs="Times New Roman"/>
          <w:lang w:val="en-US"/>
        </w:rPr>
        <w:t>.</w:t>
      </w:r>
      <w:r w:rsidR="00256FE7">
        <w:rPr>
          <w:rFonts w:ascii="Times New Roman" w:hAnsi="Times New Roman" w:cs="Times New Roman"/>
          <w:lang w:val="en-US"/>
        </w:rPr>
        <w:t xml:space="preserve"> </w:t>
      </w:r>
      <w:r w:rsidR="00130825" w:rsidRPr="007972EE">
        <w:rPr>
          <w:rFonts w:ascii="Times New Roman" w:hAnsi="Times New Roman" w:cs="Times New Roman"/>
          <w:lang w:val="en-US"/>
        </w:rPr>
        <w:t xml:space="preserve">The presence of both unit and item non responses has </w:t>
      </w:r>
      <w:r w:rsidR="00130825">
        <w:rPr>
          <w:rFonts w:ascii="Times New Roman" w:hAnsi="Times New Roman" w:cs="Times New Roman"/>
          <w:lang w:val="en-US"/>
        </w:rPr>
        <w:t xml:space="preserve">driven the </w:t>
      </w:r>
      <w:r w:rsidR="00130825" w:rsidRPr="007972EE">
        <w:rPr>
          <w:rFonts w:ascii="Times New Roman" w:hAnsi="Times New Roman" w:cs="Times New Roman"/>
          <w:lang w:val="en-US"/>
        </w:rPr>
        <w:t xml:space="preserve">design of </w:t>
      </w:r>
      <w:r w:rsidR="00130825">
        <w:rPr>
          <w:rFonts w:ascii="Times New Roman" w:hAnsi="Times New Roman" w:cs="Times New Roman"/>
          <w:lang w:val="en-US"/>
        </w:rPr>
        <w:t xml:space="preserve">the </w:t>
      </w:r>
      <w:r w:rsidR="00130825" w:rsidRPr="007972EE">
        <w:rPr>
          <w:rFonts w:ascii="Times New Roman" w:hAnsi="Times New Roman" w:cs="Times New Roman"/>
          <w:lang w:val="en-US"/>
        </w:rPr>
        <w:t xml:space="preserve">estimation strategy </w:t>
      </w:r>
      <w:r w:rsidR="00130825">
        <w:rPr>
          <w:rFonts w:ascii="Times New Roman" w:hAnsi="Times New Roman" w:cs="Times New Roman"/>
          <w:lang w:val="en-US"/>
        </w:rPr>
        <w:t xml:space="preserve">described in </w:t>
      </w:r>
      <w:r w:rsidR="00130825" w:rsidRPr="007972EE">
        <w:rPr>
          <w:rFonts w:ascii="Times New Roman" w:hAnsi="Times New Roman" w:cs="Times New Roman"/>
          <w:lang w:val="en-US"/>
        </w:rPr>
        <w:t>section 4.</w:t>
      </w:r>
    </w:p>
    <w:p w:rsidR="003E694C" w:rsidRPr="002A029B" w:rsidRDefault="003E694C" w:rsidP="0061051D">
      <w:pPr>
        <w:pStyle w:val="Default"/>
        <w:spacing w:before="240" w:after="120"/>
        <w:jc w:val="both"/>
        <w:rPr>
          <w:rFonts w:ascii="Times New Roman" w:hAnsi="Times New Roman" w:cs="Times New Roman"/>
          <w:i/>
          <w:lang w:val="en-US"/>
        </w:rPr>
      </w:pPr>
      <w:r w:rsidRPr="002A029B">
        <w:rPr>
          <w:rFonts w:ascii="Times New Roman" w:hAnsi="Times New Roman" w:cs="Times New Roman"/>
          <w:i/>
          <w:lang w:val="en-US"/>
        </w:rPr>
        <w:t>Table 2: Final units coverage of the frame by source</w:t>
      </w:r>
      <w:r w:rsidR="00836EFF" w:rsidRPr="002A029B">
        <w:rPr>
          <w:rFonts w:ascii="Times New Roman" w:hAnsi="Times New Roman" w:cs="Times New Roman"/>
          <w:i/>
          <w:lang w:val="en-US"/>
        </w:rPr>
        <w:t xml:space="preserve"> (% values)</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3"/>
        <w:gridCol w:w="2519"/>
        <w:gridCol w:w="98"/>
        <w:gridCol w:w="1602"/>
        <w:gridCol w:w="45"/>
        <w:gridCol w:w="1797"/>
        <w:gridCol w:w="121"/>
        <w:gridCol w:w="1631"/>
        <w:gridCol w:w="108"/>
        <w:gridCol w:w="1668"/>
        <w:gridCol w:w="96"/>
      </w:tblGrid>
      <w:tr w:rsidR="003E694C" w:rsidRPr="001F20CC" w:rsidTr="001752C2">
        <w:trPr>
          <w:gridBefore w:val="1"/>
          <w:wBefore w:w="48" w:type="pct"/>
          <w:trHeight w:val="600"/>
        </w:trPr>
        <w:tc>
          <w:tcPr>
            <w:tcW w:w="1338" w:type="pct"/>
            <w:gridSpan w:val="2"/>
            <w:shd w:val="clear" w:color="auto" w:fill="auto"/>
            <w:noWrap/>
            <w:vAlign w:val="center"/>
            <w:hideMark/>
          </w:tcPr>
          <w:p w:rsidR="003E694C" w:rsidRPr="001F20CC" w:rsidRDefault="003E694C" w:rsidP="001752C2">
            <w:pPr>
              <w:spacing w:after="0" w:line="240" w:lineRule="auto"/>
              <w:rPr>
                <w:rFonts w:eastAsia="Times New Roman" w:cs="Calibri"/>
                <w:b/>
                <w:color w:val="000000"/>
                <w:sz w:val="20"/>
                <w:szCs w:val="20"/>
                <w:lang w:eastAsia="it-IT"/>
              </w:rPr>
            </w:pPr>
            <w:r w:rsidRPr="001F20CC">
              <w:rPr>
                <w:rFonts w:eastAsia="Times New Roman" w:cs="Calibri"/>
                <w:b/>
                <w:color w:val="000000"/>
                <w:sz w:val="20"/>
                <w:szCs w:val="20"/>
                <w:lang w:eastAsia="it-IT"/>
              </w:rPr>
              <w:t>Source</w:t>
            </w:r>
          </w:p>
        </w:tc>
        <w:tc>
          <w:tcPr>
            <w:tcW w:w="842" w:type="pct"/>
            <w:gridSpan w:val="2"/>
            <w:shd w:val="clear" w:color="auto" w:fill="auto"/>
            <w:vAlign w:val="center"/>
            <w:hideMark/>
          </w:tcPr>
          <w:p w:rsidR="003E694C" w:rsidRPr="001F20CC" w:rsidRDefault="00836EFF" w:rsidP="001752C2">
            <w:pPr>
              <w:spacing w:after="0" w:line="240" w:lineRule="auto"/>
              <w:jc w:val="center"/>
              <w:rPr>
                <w:rFonts w:eastAsia="Times New Roman" w:cs="Calibri"/>
                <w:b/>
                <w:color w:val="000000"/>
                <w:sz w:val="20"/>
                <w:szCs w:val="20"/>
                <w:lang w:eastAsia="it-IT"/>
              </w:rPr>
            </w:pPr>
            <w:proofErr w:type="spellStart"/>
            <w:r>
              <w:rPr>
                <w:rFonts w:eastAsia="Times New Roman" w:cs="Calibri"/>
                <w:b/>
                <w:color w:val="000000"/>
                <w:sz w:val="20"/>
                <w:szCs w:val="20"/>
                <w:lang w:eastAsia="it-IT"/>
              </w:rPr>
              <w:t>Number</w:t>
            </w:r>
            <w:proofErr w:type="spellEnd"/>
            <w:r>
              <w:rPr>
                <w:rFonts w:eastAsia="Times New Roman" w:cs="Calibri"/>
                <w:b/>
                <w:color w:val="000000"/>
                <w:sz w:val="20"/>
                <w:szCs w:val="20"/>
                <w:lang w:eastAsia="it-IT"/>
              </w:rPr>
              <w:t xml:space="preserve"> </w:t>
            </w:r>
            <w:proofErr w:type="spellStart"/>
            <w:r w:rsidR="003E694C" w:rsidRPr="001F20CC">
              <w:rPr>
                <w:rFonts w:eastAsia="Times New Roman" w:cs="Calibri"/>
                <w:b/>
                <w:color w:val="000000"/>
                <w:sz w:val="20"/>
                <w:szCs w:val="20"/>
                <w:lang w:eastAsia="it-IT"/>
              </w:rPr>
              <w:t>Units</w:t>
            </w:r>
            <w:proofErr w:type="spellEnd"/>
          </w:p>
        </w:tc>
        <w:tc>
          <w:tcPr>
            <w:tcW w:w="981" w:type="pct"/>
            <w:gridSpan w:val="2"/>
            <w:shd w:val="clear" w:color="auto" w:fill="auto"/>
            <w:vAlign w:val="center"/>
            <w:hideMark/>
          </w:tcPr>
          <w:p w:rsidR="003E694C" w:rsidRPr="001F20CC" w:rsidRDefault="003E694C" w:rsidP="001752C2">
            <w:pPr>
              <w:spacing w:after="0" w:line="240" w:lineRule="auto"/>
              <w:jc w:val="center"/>
              <w:rPr>
                <w:rFonts w:eastAsia="Times New Roman" w:cs="Calibri"/>
                <w:b/>
                <w:color w:val="000000"/>
                <w:sz w:val="20"/>
                <w:szCs w:val="20"/>
                <w:lang w:val="en-US" w:eastAsia="it-IT"/>
              </w:rPr>
            </w:pPr>
            <w:r w:rsidRPr="001F20CC">
              <w:rPr>
                <w:rFonts w:eastAsia="Times New Roman" w:cs="Calibri"/>
                <w:b/>
                <w:color w:val="000000"/>
                <w:sz w:val="20"/>
                <w:szCs w:val="20"/>
                <w:lang w:val="en-US" w:eastAsia="it-IT"/>
              </w:rPr>
              <w:t>Number Employees</w:t>
            </w:r>
          </w:p>
        </w:tc>
        <w:tc>
          <w:tcPr>
            <w:tcW w:w="889" w:type="pct"/>
            <w:gridSpan w:val="2"/>
            <w:shd w:val="clear" w:color="auto" w:fill="auto"/>
            <w:vAlign w:val="center"/>
            <w:hideMark/>
          </w:tcPr>
          <w:p w:rsidR="003E694C" w:rsidRPr="001F20CC" w:rsidRDefault="003E694C" w:rsidP="001752C2">
            <w:pPr>
              <w:spacing w:after="0" w:line="240" w:lineRule="auto"/>
              <w:jc w:val="center"/>
              <w:rPr>
                <w:rFonts w:eastAsia="Times New Roman" w:cs="Calibri"/>
                <w:b/>
                <w:color w:val="000000"/>
                <w:sz w:val="20"/>
                <w:szCs w:val="20"/>
                <w:lang w:val="en-US" w:eastAsia="it-IT"/>
              </w:rPr>
            </w:pPr>
            <w:r w:rsidRPr="001F20CC">
              <w:rPr>
                <w:rFonts w:eastAsia="Times New Roman" w:cs="Calibri"/>
                <w:b/>
                <w:color w:val="000000"/>
                <w:sz w:val="20"/>
                <w:szCs w:val="20"/>
                <w:lang w:val="en-US" w:eastAsia="it-IT"/>
              </w:rPr>
              <w:t>Revenues</w:t>
            </w:r>
          </w:p>
        </w:tc>
        <w:tc>
          <w:tcPr>
            <w:tcW w:w="902" w:type="pct"/>
            <w:gridSpan w:val="2"/>
            <w:shd w:val="clear" w:color="auto" w:fill="auto"/>
            <w:vAlign w:val="center"/>
            <w:hideMark/>
          </w:tcPr>
          <w:p w:rsidR="003E694C" w:rsidRPr="001F20CC" w:rsidRDefault="003E694C" w:rsidP="001752C2">
            <w:pPr>
              <w:spacing w:after="0" w:line="240" w:lineRule="auto"/>
              <w:jc w:val="center"/>
              <w:rPr>
                <w:rFonts w:eastAsia="Times New Roman" w:cs="Calibri"/>
                <w:b/>
                <w:color w:val="000000"/>
                <w:sz w:val="20"/>
                <w:szCs w:val="20"/>
                <w:lang w:val="en-US" w:eastAsia="it-IT"/>
              </w:rPr>
            </w:pPr>
            <w:r w:rsidRPr="001F20CC">
              <w:rPr>
                <w:rFonts w:eastAsia="Times New Roman" w:cs="Calibri"/>
                <w:b/>
                <w:color w:val="000000"/>
                <w:sz w:val="20"/>
                <w:szCs w:val="20"/>
                <w:lang w:val="en-US" w:eastAsia="it-IT"/>
              </w:rPr>
              <w:t>Value Added</w:t>
            </w:r>
          </w:p>
        </w:tc>
      </w:tr>
      <w:tr w:rsidR="003E694C" w:rsidRPr="001F20CC" w:rsidTr="001752C2">
        <w:trPr>
          <w:gridAfter w:val="1"/>
          <w:wAfter w:w="49" w:type="pct"/>
          <w:trHeight w:val="300"/>
        </w:trPr>
        <w:tc>
          <w:tcPr>
            <w:tcW w:w="1336" w:type="pct"/>
            <w:gridSpan w:val="2"/>
            <w:tcBorders>
              <w:bottom w:val="nil"/>
            </w:tcBorders>
            <w:shd w:val="clear" w:color="auto" w:fill="auto"/>
            <w:noWrap/>
            <w:vAlign w:val="bottom"/>
            <w:hideMark/>
          </w:tcPr>
          <w:p w:rsidR="003E694C" w:rsidRPr="001F20CC" w:rsidRDefault="003E694C" w:rsidP="001752C2">
            <w:pPr>
              <w:spacing w:after="0" w:line="240" w:lineRule="auto"/>
              <w:rPr>
                <w:rFonts w:ascii="Calibri" w:hAnsi="Calibri" w:cs="Calibri"/>
                <w:i/>
                <w:color w:val="000000"/>
                <w:sz w:val="20"/>
                <w:szCs w:val="20"/>
                <w:lang w:val="en-US"/>
              </w:rPr>
            </w:pPr>
            <w:r w:rsidRPr="001F20CC">
              <w:rPr>
                <w:rFonts w:ascii="Calibri" w:hAnsi="Calibri" w:cs="Calibri"/>
                <w:i/>
                <w:color w:val="000000"/>
                <w:sz w:val="20"/>
                <w:szCs w:val="20"/>
                <w:lang w:val="en-US"/>
              </w:rPr>
              <w:t>FS</w:t>
            </w:r>
          </w:p>
        </w:tc>
        <w:tc>
          <w:tcPr>
            <w:tcW w:w="869" w:type="pct"/>
            <w:gridSpan w:val="2"/>
            <w:tcBorders>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16</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1</w:t>
            </w:r>
          </w:p>
        </w:tc>
        <w:tc>
          <w:tcPr>
            <w:tcW w:w="942" w:type="pct"/>
            <w:gridSpan w:val="2"/>
            <w:tcBorders>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Pr>
                <w:rFonts w:eastAsia="Times New Roman" w:cs="Calibri"/>
                <w:color w:val="000000"/>
                <w:sz w:val="20"/>
                <w:szCs w:val="20"/>
                <w:lang w:val="en-US" w:eastAsia="it-IT"/>
              </w:rPr>
              <w:t>38.</w:t>
            </w:r>
            <w:r w:rsidRPr="001F20CC">
              <w:rPr>
                <w:rFonts w:eastAsia="Times New Roman" w:cs="Calibri"/>
                <w:color w:val="000000"/>
                <w:sz w:val="20"/>
                <w:szCs w:val="20"/>
                <w:lang w:val="en-US" w:eastAsia="it-IT"/>
              </w:rPr>
              <w:t>2</w:t>
            </w:r>
          </w:p>
        </w:tc>
        <w:tc>
          <w:tcPr>
            <w:tcW w:w="896" w:type="pct"/>
            <w:gridSpan w:val="2"/>
            <w:tcBorders>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66</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2</w:t>
            </w:r>
          </w:p>
        </w:tc>
        <w:tc>
          <w:tcPr>
            <w:tcW w:w="908" w:type="pct"/>
            <w:gridSpan w:val="2"/>
            <w:tcBorders>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54</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1</w:t>
            </w:r>
          </w:p>
        </w:tc>
      </w:tr>
      <w:tr w:rsidR="003E694C" w:rsidRPr="001F20CC" w:rsidTr="001752C2">
        <w:trPr>
          <w:gridAfter w:val="1"/>
          <w:wAfter w:w="49" w:type="pct"/>
          <w:trHeight w:val="300"/>
        </w:trPr>
        <w:tc>
          <w:tcPr>
            <w:tcW w:w="1336" w:type="pct"/>
            <w:gridSpan w:val="2"/>
            <w:tcBorders>
              <w:top w:val="nil"/>
              <w:bottom w:val="nil"/>
            </w:tcBorders>
            <w:shd w:val="clear" w:color="auto" w:fill="auto"/>
            <w:noWrap/>
            <w:vAlign w:val="bottom"/>
            <w:hideMark/>
          </w:tcPr>
          <w:p w:rsidR="003E694C" w:rsidRPr="001F20CC" w:rsidRDefault="003E694C" w:rsidP="001752C2">
            <w:pPr>
              <w:spacing w:after="0" w:line="240" w:lineRule="auto"/>
              <w:rPr>
                <w:rFonts w:eastAsia="Times New Roman" w:cs="Calibri"/>
                <w:i/>
                <w:color w:val="000000"/>
                <w:sz w:val="20"/>
                <w:szCs w:val="20"/>
                <w:lang w:val="en-US" w:eastAsia="it-IT"/>
              </w:rPr>
            </w:pPr>
            <w:r w:rsidRPr="001F20CC">
              <w:rPr>
                <w:rFonts w:eastAsia="Times New Roman" w:cs="Calibri"/>
                <w:i/>
                <w:color w:val="000000"/>
                <w:sz w:val="20"/>
                <w:szCs w:val="20"/>
                <w:lang w:val="en-US" w:eastAsia="it-IT"/>
              </w:rPr>
              <w:t>SS</w:t>
            </w:r>
          </w:p>
        </w:tc>
        <w:tc>
          <w:tcPr>
            <w:tcW w:w="869"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64</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0</w:t>
            </w:r>
          </w:p>
        </w:tc>
        <w:tc>
          <w:tcPr>
            <w:tcW w:w="942"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49</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2</w:t>
            </w:r>
          </w:p>
        </w:tc>
        <w:tc>
          <w:tcPr>
            <w:tcW w:w="896"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24</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5</w:t>
            </w:r>
          </w:p>
        </w:tc>
        <w:tc>
          <w:tcPr>
            <w:tcW w:w="908"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36</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4</w:t>
            </w:r>
          </w:p>
        </w:tc>
      </w:tr>
      <w:tr w:rsidR="003E694C" w:rsidRPr="001F20CC" w:rsidTr="001752C2">
        <w:trPr>
          <w:gridAfter w:val="1"/>
          <w:wAfter w:w="49" w:type="pct"/>
          <w:trHeight w:val="300"/>
        </w:trPr>
        <w:tc>
          <w:tcPr>
            <w:tcW w:w="1336" w:type="pct"/>
            <w:gridSpan w:val="2"/>
            <w:tcBorders>
              <w:top w:val="nil"/>
              <w:bottom w:val="nil"/>
            </w:tcBorders>
            <w:shd w:val="clear" w:color="auto" w:fill="auto"/>
            <w:noWrap/>
            <w:vAlign w:val="bottom"/>
            <w:hideMark/>
          </w:tcPr>
          <w:p w:rsidR="003E694C" w:rsidRPr="001F20CC" w:rsidRDefault="003E694C" w:rsidP="001752C2">
            <w:pPr>
              <w:spacing w:after="0" w:line="240" w:lineRule="auto"/>
              <w:rPr>
                <w:rFonts w:eastAsia="Times New Roman" w:cs="Calibri"/>
                <w:i/>
                <w:color w:val="000000"/>
                <w:sz w:val="20"/>
                <w:szCs w:val="20"/>
                <w:lang w:val="en-US" w:eastAsia="it-IT"/>
              </w:rPr>
            </w:pPr>
            <w:proofErr w:type="spellStart"/>
            <w:r w:rsidRPr="001F20CC">
              <w:rPr>
                <w:rFonts w:eastAsia="Times New Roman" w:cs="Calibri"/>
                <w:i/>
                <w:color w:val="000000"/>
                <w:sz w:val="20"/>
                <w:szCs w:val="20"/>
                <w:lang w:val="en-US" w:eastAsia="it-IT"/>
              </w:rPr>
              <w:t>Unico</w:t>
            </w:r>
            <w:proofErr w:type="spellEnd"/>
          </w:p>
        </w:tc>
        <w:tc>
          <w:tcPr>
            <w:tcW w:w="869"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16</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2</w:t>
            </w:r>
          </w:p>
        </w:tc>
        <w:tc>
          <w:tcPr>
            <w:tcW w:w="942"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val="en-US" w:eastAsia="it-IT"/>
              </w:rPr>
            </w:pPr>
            <w:r w:rsidRPr="001F20CC">
              <w:rPr>
                <w:rFonts w:eastAsia="Times New Roman" w:cs="Calibri"/>
                <w:color w:val="000000"/>
                <w:sz w:val="20"/>
                <w:szCs w:val="20"/>
                <w:lang w:val="en-US" w:eastAsia="it-IT"/>
              </w:rPr>
              <w:t>8</w:t>
            </w:r>
            <w:r>
              <w:rPr>
                <w:rFonts w:eastAsia="Times New Roman" w:cs="Calibri"/>
                <w:color w:val="000000"/>
                <w:sz w:val="20"/>
                <w:szCs w:val="20"/>
                <w:lang w:val="en-US" w:eastAsia="it-IT"/>
              </w:rPr>
              <w:t>.</w:t>
            </w:r>
            <w:r w:rsidRPr="001F20CC">
              <w:rPr>
                <w:rFonts w:eastAsia="Times New Roman" w:cs="Calibri"/>
                <w:color w:val="000000"/>
                <w:sz w:val="20"/>
                <w:szCs w:val="20"/>
                <w:lang w:val="en-US" w:eastAsia="it-IT"/>
              </w:rPr>
              <w:t>3</w:t>
            </w:r>
          </w:p>
        </w:tc>
        <w:tc>
          <w:tcPr>
            <w:tcW w:w="896"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eastAsia="it-IT"/>
              </w:rPr>
            </w:pPr>
            <w:r w:rsidRPr="001F20CC">
              <w:rPr>
                <w:rFonts w:eastAsia="Times New Roman" w:cs="Calibri"/>
                <w:color w:val="000000"/>
                <w:sz w:val="20"/>
                <w:szCs w:val="20"/>
                <w:lang w:eastAsia="it-IT"/>
              </w:rPr>
              <w:t>5</w:t>
            </w:r>
            <w:r>
              <w:rPr>
                <w:rFonts w:eastAsia="Times New Roman" w:cs="Calibri"/>
                <w:color w:val="000000"/>
                <w:sz w:val="20"/>
                <w:szCs w:val="20"/>
                <w:lang w:eastAsia="it-IT"/>
              </w:rPr>
              <w:t>.</w:t>
            </w:r>
            <w:r w:rsidRPr="001F20CC">
              <w:rPr>
                <w:rFonts w:eastAsia="Times New Roman" w:cs="Calibri"/>
                <w:color w:val="000000"/>
                <w:sz w:val="20"/>
                <w:szCs w:val="20"/>
                <w:lang w:eastAsia="it-IT"/>
              </w:rPr>
              <w:t>5</w:t>
            </w:r>
          </w:p>
        </w:tc>
        <w:tc>
          <w:tcPr>
            <w:tcW w:w="908" w:type="pct"/>
            <w:gridSpan w:val="2"/>
            <w:tcBorders>
              <w:top w:val="nil"/>
              <w:bottom w:val="nil"/>
            </w:tcBorders>
            <w:shd w:val="clear" w:color="auto" w:fill="auto"/>
            <w:noWrap/>
            <w:vAlign w:val="bottom"/>
            <w:hideMark/>
          </w:tcPr>
          <w:p w:rsidR="003E694C" w:rsidRPr="001F20CC" w:rsidRDefault="003E694C" w:rsidP="001752C2">
            <w:pPr>
              <w:spacing w:after="0" w:line="240" w:lineRule="auto"/>
              <w:jc w:val="center"/>
              <w:rPr>
                <w:rFonts w:eastAsia="Times New Roman" w:cs="Calibri"/>
                <w:color w:val="000000"/>
                <w:sz w:val="20"/>
                <w:szCs w:val="20"/>
                <w:lang w:eastAsia="it-IT"/>
              </w:rPr>
            </w:pPr>
            <w:r w:rsidRPr="001F20CC">
              <w:rPr>
                <w:rFonts w:eastAsia="Times New Roman" w:cs="Calibri"/>
                <w:color w:val="000000"/>
                <w:sz w:val="20"/>
                <w:szCs w:val="20"/>
                <w:lang w:eastAsia="it-IT"/>
              </w:rPr>
              <w:t>6</w:t>
            </w:r>
            <w:r>
              <w:rPr>
                <w:rFonts w:eastAsia="Times New Roman" w:cs="Calibri"/>
                <w:color w:val="000000"/>
                <w:sz w:val="20"/>
                <w:szCs w:val="20"/>
                <w:lang w:eastAsia="it-IT"/>
              </w:rPr>
              <w:t>.</w:t>
            </w:r>
            <w:r w:rsidRPr="001F20CC">
              <w:rPr>
                <w:rFonts w:eastAsia="Times New Roman" w:cs="Calibri"/>
                <w:color w:val="000000"/>
                <w:sz w:val="20"/>
                <w:szCs w:val="20"/>
                <w:lang w:eastAsia="it-IT"/>
              </w:rPr>
              <w:t>1</w:t>
            </w:r>
          </w:p>
        </w:tc>
      </w:tr>
      <w:tr w:rsidR="003E694C" w:rsidRPr="003869DF" w:rsidTr="001752C2">
        <w:trPr>
          <w:gridAfter w:val="1"/>
          <w:wAfter w:w="49" w:type="pct"/>
          <w:trHeight w:val="300"/>
        </w:trPr>
        <w:tc>
          <w:tcPr>
            <w:tcW w:w="1336" w:type="pct"/>
            <w:gridSpan w:val="2"/>
            <w:tcBorders>
              <w:top w:val="nil"/>
              <w:bottom w:val="nil"/>
            </w:tcBorders>
            <w:shd w:val="clear" w:color="auto" w:fill="auto"/>
            <w:noWrap/>
            <w:vAlign w:val="bottom"/>
          </w:tcPr>
          <w:p w:rsidR="003E694C" w:rsidRPr="003869DF" w:rsidRDefault="003E694C" w:rsidP="001752C2">
            <w:pPr>
              <w:spacing w:after="0" w:line="240" w:lineRule="auto"/>
              <w:rPr>
                <w:rFonts w:eastAsia="Times New Roman" w:cs="Calibri"/>
                <w:b/>
                <w:i/>
                <w:color w:val="000000"/>
                <w:sz w:val="20"/>
                <w:szCs w:val="20"/>
                <w:lang w:val="en-US" w:eastAsia="it-IT"/>
              </w:rPr>
            </w:pPr>
            <w:r w:rsidRPr="003869DF">
              <w:rPr>
                <w:rFonts w:eastAsia="Times New Roman" w:cs="Calibri"/>
                <w:b/>
                <w:i/>
                <w:color w:val="000000"/>
                <w:sz w:val="20"/>
                <w:szCs w:val="20"/>
                <w:lang w:val="en-US" w:eastAsia="it-IT"/>
              </w:rPr>
              <w:t>Total covered</w:t>
            </w:r>
          </w:p>
        </w:tc>
        <w:tc>
          <w:tcPr>
            <w:tcW w:w="869" w:type="pct"/>
            <w:gridSpan w:val="2"/>
            <w:tcBorders>
              <w:top w:val="nil"/>
              <w:bottom w:val="nil"/>
            </w:tcBorders>
            <w:shd w:val="clear" w:color="auto" w:fill="auto"/>
            <w:noWrap/>
            <w:vAlign w:val="bottom"/>
          </w:tcPr>
          <w:p w:rsidR="003E694C" w:rsidRPr="003869DF" w:rsidRDefault="003E694C" w:rsidP="001752C2">
            <w:pPr>
              <w:spacing w:after="0" w:line="240" w:lineRule="auto"/>
              <w:jc w:val="center"/>
              <w:rPr>
                <w:rFonts w:eastAsia="Times New Roman" w:cs="Calibri"/>
                <w:b/>
                <w:color w:val="000000"/>
                <w:sz w:val="20"/>
                <w:szCs w:val="20"/>
                <w:lang w:val="en-US" w:eastAsia="it-IT"/>
              </w:rPr>
            </w:pPr>
            <w:r w:rsidRPr="003869DF">
              <w:rPr>
                <w:rFonts w:eastAsia="Times New Roman" w:cs="Calibri"/>
                <w:b/>
                <w:color w:val="000000"/>
                <w:sz w:val="20"/>
                <w:szCs w:val="20"/>
                <w:lang w:val="en-US" w:eastAsia="it-IT"/>
              </w:rPr>
              <w:t>96.3</w:t>
            </w:r>
          </w:p>
        </w:tc>
        <w:tc>
          <w:tcPr>
            <w:tcW w:w="942" w:type="pct"/>
            <w:gridSpan w:val="2"/>
            <w:tcBorders>
              <w:top w:val="nil"/>
              <w:bottom w:val="nil"/>
            </w:tcBorders>
            <w:shd w:val="clear" w:color="auto" w:fill="auto"/>
            <w:noWrap/>
            <w:vAlign w:val="bottom"/>
          </w:tcPr>
          <w:p w:rsidR="003E694C" w:rsidRPr="003869DF" w:rsidRDefault="003E694C" w:rsidP="001752C2">
            <w:pPr>
              <w:spacing w:after="0" w:line="240" w:lineRule="auto"/>
              <w:jc w:val="center"/>
              <w:rPr>
                <w:rFonts w:eastAsia="Times New Roman" w:cs="Calibri"/>
                <w:b/>
                <w:color w:val="000000"/>
                <w:sz w:val="20"/>
                <w:szCs w:val="20"/>
                <w:lang w:val="en-US" w:eastAsia="it-IT"/>
              </w:rPr>
            </w:pPr>
            <w:r w:rsidRPr="003869DF">
              <w:rPr>
                <w:rFonts w:eastAsia="Times New Roman" w:cs="Calibri"/>
                <w:b/>
                <w:color w:val="000000"/>
                <w:sz w:val="20"/>
                <w:szCs w:val="20"/>
                <w:lang w:val="en-US" w:eastAsia="it-IT"/>
              </w:rPr>
              <w:t>95.7</w:t>
            </w:r>
          </w:p>
        </w:tc>
        <w:tc>
          <w:tcPr>
            <w:tcW w:w="896" w:type="pct"/>
            <w:gridSpan w:val="2"/>
            <w:tcBorders>
              <w:top w:val="nil"/>
              <w:bottom w:val="nil"/>
            </w:tcBorders>
            <w:shd w:val="clear" w:color="auto" w:fill="auto"/>
            <w:noWrap/>
            <w:vAlign w:val="bottom"/>
          </w:tcPr>
          <w:p w:rsidR="003E694C" w:rsidRPr="003869DF" w:rsidRDefault="003E694C" w:rsidP="001752C2">
            <w:pPr>
              <w:spacing w:after="0" w:line="240" w:lineRule="auto"/>
              <w:jc w:val="center"/>
              <w:rPr>
                <w:rFonts w:eastAsia="Times New Roman" w:cs="Calibri"/>
                <w:b/>
                <w:color w:val="000000"/>
                <w:sz w:val="20"/>
                <w:szCs w:val="20"/>
                <w:lang w:eastAsia="it-IT"/>
              </w:rPr>
            </w:pPr>
            <w:r w:rsidRPr="003869DF">
              <w:rPr>
                <w:rFonts w:eastAsia="Times New Roman" w:cs="Calibri"/>
                <w:b/>
                <w:color w:val="000000"/>
                <w:sz w:val="20"/>
                <w:szCs w:val="20"/>
                <w:lang w:eastAsia="it-IT"/>
              </w:rPr>
              <w:t>96.2</w:t>
            </w:r>
          </w:p>
        </w:tc>
        <w:tc>
          <w:tcPr>
            <w:tcW w:w="908" w:type="pct"/>
            <w:gridSpan w:val="2"/>
            <w:tcBorders>
              <w:top w:val="nil"/>
              <w:bottom w:val="nil"/>
            </w:tcBorders>
            <w:shd w:val="clear" w:color="auto" w:fill="auto"/>
            <w:noWrap/>
            <w:vAlign w:val="bottom"/>
          </w:tcPr>
          <w:p w:rsidR="003E694C" w:rsidRPr="003869DF" w:rsidRDefault="003E694C" w:rsidP="001752C2">
            <w:pPr>
              <w:spacing w:after="0" w:line="240" w:lineRule="auto"/>
              <w:jc w:val="center"/>
              <w:rPr>
                <w:rFonts w:eastAsia="Times New Roman" w:cs="Calibri"/>
                <w:b/>
                <w:color w:val="000000"/>
                <w:sz w:val="20"/>
                <w:szCs w:val="20"/>
                <w:lang w:eastAsia="it-IT"/>
              </w:rPr>
            </w:pPr>
            <w:r w:rsidRPr="003869DF">
              <w:rPr>
                <w:rFonts w:eastAsia="Times New Roman" w:cs="Calibri"/>
                <w:b/>
                <w:color w:val="000000"/>
                <w:sz w:val="20"/>
                <w:szCs w:val="20"/>
                <w:lang w:eastAsia="it-IT"/>
              </w:rPr>
              <w:t>96.6</w:t>
            </w:r>
          </w:p>
        </w:tc>
      </w:tr>
      <w:tr w:rsidR="003E694C" w:rsidRPr="001F20CC" w:rsidTr="001752C2">
        <w:trPr>
          <w:gridAfter w:val="1"/>
          <w:wAfter w:w="49" w:type="pct"/>
          <w:trHeight w:val="300"/>
        </w:trPr>
        <w:tc>
          <w:tcPr>
            <w:tcW w:w="1336" w:type="pct"/>
            <w:gridSpan w:val="2"/>
            <w:tcBorders>
              <w:top w:val="nil"/>
            </w:tcBorders>
            <w:shd w:val="clear" w:color="auto" w:fill="auto"/>
            <w:noWrap/>
            <w:vAlign w:val="bottom"/>
            <w:hideMark/>
          </w:tcPr>
          <w:p w:rsidR="003E694C" w:rsidRPr="001F20CC" w:rsidRDefault="003E694C" w:rsidP="001752C2">
            <w:pPr>
              <w:spacing w:after="60" w:line="240" w:lineRule="auto"/>
              <w:rPr>
                <w:rFonts w:eastAsia="Times New Roman" w:cs="Calibri"/>
                <w:b/>
                <w:i/>
                <w:color w:val="000000"/>
                <w:sz w:val="20"/>
                <w:szCs w:val="20"/>
                <w:lang w:eastAsia="it-IT"/>
              </w:rPr>
            </w:pPr>
            <w:proofErr w:type="spellStart"/>
            <w:r w:rsidRPr="001F20CC">
              <w:rPr>
                <w:rFonts w:eastAsia="Times New Roman" w:cs="Calibri"/>
                <w:b/>
                <w:i/>
                <w:color w:val="000000"/>
                <w:sz w:val="20"/>
                <w:szCs w:val="20"/>
                <w:lang w:eastAsia="it-IT"/>
              </w:rPr>
              <w:t>Not</w:t>
            </w:r>
            <w:proofErr w:type="spellEnd"/>
            <w:r w:rsidRPr="001F20CC">
              <w:rPr>
                <w:rFonts w:eastAsia="Times New Roman" w:cs="Calibri"/>
                <w:b/>
                <w:i/>
                <w:color w:val="000000"/>
                <w:sz w:val="20"/>
                <w:szCs w:val="20"/>
                <w:lang w:eastAsia="it-IT"/>
              </w:rPr>
              <w:t xml:space="preserve"> </w:t>
            </w:r>
            <w:proofErr w:type="spellStart"/>
            <w:r w:rsidRPr="001F20CC">
              <w:rPr>
                <w:rFonts w:eastAsia="Times New Roman" w:cs="Calibri"/>
                <w:b/>
                <w:i/>
                <w:color w:val="000000"/>
                <w:sz w:val="20"/>
                <w:szCs w:val="20"/>
                <w:lang w:eastAsia="it-IT"/>
              </w:rPr>
              <w:t>covered</w:t>
            </w:r>
            <w:proofErr w:type="spellEnd"/>
          </w:p>
        </w:tc>
        <w:tc>
          <w:tcPr>
            <w:tcW w:w="869" w:type="pct"/>
            <w:gridSpan w:val="2"/>
            <w:tcBorders>
              <w:top w:val="nil"/>
            </w:tcBorders>
            <w:shd w:val="clear" w:color="auto" w:fill="auto"/>
            <w:noWrap/>
            <w:vAlign w:val="bottom"/>
            <w:hideMark/>
          </w:tcPr>
          <w:p w:rsidR="003E694C" w:rsidRPr="001F20CC" w:rsidRDefault="003E694C" w:rsidP="001752C2">
            <w:pPr>
              <w:spacing w:after="60" w:line="240" w:lineRule="auto"/>
              <w:jc w:val="center"/>
              <w:rPr>
                <w:rFonts w:eastAsia="Times New Roman" w:cs="Calibri"/>
                <w:b/>
                <w:color w:val="000000"/>
                <w:sz w:val="20"/>
                <w:szCs w:val="20"/>
                <w:lang w:eastAsia="it-IT"/>
              </w:rPr>
            </w:pPr>
            <w:r>
              <w:rPr>
                <w:rFonts w:eastAsia="Times New Roman" w:cs="Calibri"/>
                <w:b/>
                <w:color w:val="000000"/>
                <w:sz w:val="20"/>
                <w:szCs w:val="20"/>
                <w:lang w:eastAsia="it-IT"/>
              </w:rPr>
              <w:t>3.</w:t>
            </w:r>
            <w:r w:rsidRPr="001F20CC">
              <w:rPr>
                <w:rFonts w:eastAsia="Times New Roman" w:cs="Calibri"/>
                <w:b/>
                <w:color w:val="000000"/>
                <w:sz w:val="20"/>
                <w:szCs w:val="20"/>
                <w:lang w:eastAsia="it-IT"/>
              </w:rPr>
              <w:t>7</w:t>
            </w:r>
          </w:p>
        </w:tc>
        <w:tc>
          <w:tcPr>
            <w:tcW w:w="942" w:type="pct"/>
            <w:gridSpan w:val="2"/>
            <w:tcBorders>
              <w:top w:val="nil"/>
            </w:tcBorders>
            <w:shd w:val="clear" w:color="auto" w:fill="auto"/>
            <w:noWrap/>
            <w:vAlign w:val="bottom"/>
            <w:hideMark/>
          </w:tcPr>
          <w:p w:rsidR="003E694C" w:rsidRPr="001F20CC" w:rsidRDefault="003E694C" w:rsidP="001752C2">
            <w:pPr>
              <w:spacing w:after="60" w:line="240" w:lineRule="auto"/>
              <w:jc w:val="center"/>
              <w:rPr>
                <w:rFonts w:eastAsia="Times New Roman" w:cs="Calibri"/>
                <w:b/>
                <w:color w:val="000000"/>
                <w:sz w:val="20"/>
                <w:szCs w:val="20"/>
                <w:lang w:eastAsia="it-IT"/>
              </w:rPr>
            </w:pPr>
            <w:r>
              <w:rPr>
                <w:rFonts w:eastAsia="Times New Roman" w:cs="Calibri"/>
                <w:b/>
                <w:color w:val="000000"/>
                <w:sz w:val="20"/>
                <w:szCs w:val="20"/>
                <w:lang w:eastAsia="it-IT"/>
              </w:rPr>
              <w:t>4.</w:t>
            </w:r>
            <w:r w:rsidRPr="001F20CC">
              <w:rPr>
                <w:rFonts w:eastAsia="Times New Roman" w:cs="Calibri"/>
                <w:b/>
                <w:color w:val="000000"/>
                <w:sz w:val="20"/>
                <w:szCs w:val="20"/>
                <w:lang w:eastAsia="it-IT"/>
              </w:rPr>
              <w:t>3</w:t>
            </w:r>
          </w:p>
        </w:tc>
        <w:tc>
          <w:tcPr>
            <w:tcW w:w="896" w:type="pct"/>
            <w:gridSpan w:val="2"/>
            <w:tcBorders>
              <w:top w:val="nil"/>
            </w:tcBorders>
            <w:shd w:val="clear" w:color="auto" w:fill="auto"/>
            <w:noWrap/>
            <w:vAlign w:val="bottom"/>
            <w:hideMark/>
          </w:tcPr>
          <w:p w:rsidR="003E694C" w:rsidRPr="001F20CC" w:rsidRDefault="003E694C" w:rsidP="001752C2">
            <w:pPr>
              <w:spacing w:after="60" w:line="240" w:lineRule="auto"/>
              <w:jc w:val="center"/>
              <w:rPr>
                <w:rFonts w:eastAsia="Times New Roman" w:cs="Calibri"/>
                <w:b/>
                <w:color w:val="000000"/>
                <w:sz w:val="20"/>
                <w:szCs w:val="20"/>
                <w:lang w:eastAsia="it-IT"/>
              </w:rPr>
            </w:pPr>
            <w:r>
              <w:rPr>
                <w:rFonts w:eastAsia="Times New Roman" w:cs="Calibri"/>
                <w:b/>
                <w:color w:val="000000"/>
                <w:sz w:val="20"/>
                <w:szCs w:val="20"/>
                <w:lang w:eastAsia="it-IT"/>
              </w:rPr>
              <w:t>3.</w:t>
            </w:r>
            <w:r w:rsidRPr="001F20CC">
              <w:rPr>
                <w:rFonts w:eastAsia="Times New Roman" w:cs="Calibri"/>
                <w:b/>
                <w:color w:val="000000"/>
                <w:sz w:val="20"/>
                <w:szCs w:val="20"/>
                <w:lang w:eastAsia="it-IT"/>
              </w:rPr>
              <w:t>7</w:t>
            </w:r>
          </w:p>
        </w:tc>
        <w:tc>
          <w:tcPr>
            <w:tcW w:w="908" w:type="pct"/>
            <w:gridSpan w:val="2"/>
            <w:tcBorders>
              <w:top w:val="nil"/>
            </w:tcBorders>
            <w:shd w:val="clear" w:color="auto" w:fill="auto"/>
            <w:noWrap/>
            <w:vAlign w:val="bottom"/>
            <w:hideMark/>
          </w:tcPr>
          <w:p w:rsidR="003E694C" w:rsidRPr="001F20CC" w:rsidRDefault="003E694C" w:rsidP="001752C2">
            <w:pPr>
              <w:spacing w:after="60" w:line="240" w:lineRule="auto"/>
              <w:jc w:val="center"/>
              <w:rPr>
                <w:rFonts w:eastAsia="Times New Roman" w:cs="Calibri"/>
                <w:b/>
                <w:color w:val="000000"/>
                <w:sz w:val="20"/>
                <w:szCs w:val="20"/>
                <w:lang w:eastAsia="it-IT"/>
              </w:rPr>
            </w:pPr>
            <w:r>
              <w:rPr>
                <w:rFonts w:eastAsia="Times New Roman" w:cs="Calibri"/>
                <w:b/>
                <w:color w:val="000000"/>
                <w:sz w:val="20"/>
                <w:szCs w:val="20"/>
                <w:lang w:eastAsia="it-IT"/>
              </w:rPr>
              <w:t>3.</w:t>
            </w:r>
            <w:r w:rsidRPr="001F20CC">
              <w:rPr>
                <w:rFonts w:eastAsia="Times New Roman" w:cs="Calibri"/>
                <w:b/>
                <w:color w:val="000000"/>
                <w:sz w:val="20"/>
                <w:szCs w:val="20"/>
                <w:lang w:eastAsia="it-IT"/>
              </w:rPr>
              <w:t>4</w:t>
            </w:r>
          </w:p>
        </w:tc>
      </w:tr>
      <w:tr w:rsidR="003E694C" w:rsidRPr="003869DF" w:rsidTr="001752C2">
        <w:trPr>
          <w:gridBefore w:val="1"/>
          <w:wBefore w:w="48" w:type="pct"/>
          <w:trHeight w:val="300"/>
        </w:trPr>
        <w:tc>
          <w:tcPr>
            <w:tcW w:w="1338" w:type="pct"/>
            <w:gridSpan w:val="2"/>
            <w:shd w:val="clear" w:color="auto" w:fill="auto"/>
            <w:noWrap/>
            <w:vAlign w:val="bottom"/>
            <w:hideMark/>
          </w:tcPr>
          <w:p w:rsidR="003E694C" w:rsidRPr="001F20CC" w:rsidRDefault="003E694C" w:rsidP="001752C2">
            <w:pPr>
              <w:spacing w:after="0" w:line="240" w:lineRule="auto"/>
              <w:rPr>
                <w:rFonts w:eastAsia="Times New Roman" w:cs="Calibri"/>
                <w:b/>
                <w:i/>
                <w:color w:val="000000"/>
                <w:sz w:val="20"/>
                <w:szCs w:val="20"/>
                <w:lang w:eastAsia="it-IT"/>
              </w:rPr>
            </w:pPr>
            <w:r w:rsidRPr="001F20CC">
              <w:rPr>
                <w:rFonts w:eastAsia="Times New Roman" w:cs="Calibri"/>
                <w:b/>
                <w:i/>
                <w:color w:val="000000"/>
                <w:sz w:val="20"/>
                <w:szCs w:val="20"/>
                <w:lang w:eastAsia="it-IT"/>
              </w:rPr>
              <w:t>Total</w:t>
            </w:r>
          </w:p>
        </w:tc>
        <w:tc>
          <w:tcPr>
            <w:tcW w:w="842" w:type="pct"/>
            <w:gridSpan w:val="2"/>
            <w:shd w:val="clear" w:color="auto" w:fill="auto"/>
            <w:noWrap/>
            <w:vAlign w:val="bottom"/>
            <w:hideMark/>
          </w:tcPr>
          <w:p w:rsidR="003E694C" w:rsidRPr="001F20CC" w:rsidRDefault="003E694C" w:rsidP="001752C2">
            <w:pPr>
              <w:spacing w:after="0" w:line="240" w:lineRule="auto"/>
              <w:rPr>
                <w:rFonts w:eastAsia="Times New Roman" w:cs="Calibri"/>
                <w:b/>
                <w:i/>
                <w:color w:val="000000"/>
                <w:sz w:val="20"/>
                <w:szCs w:val="20"/>
                <w:lang w:eastAsia="it-IT"/>
              </w:rPr>
            </w:pPr>
            <w:r w:rsidRPr="001F20CC">
              <w:rPr>
                <w:rFonts w:eastAsia="Times New Roman" w:cs="Calibri"/>
                <w:b/>
                <w:i/>
                <w:color w:val="000000"/>
                <w:sz w:val="20"/>
                <w:szCs w:val="20"/>
                <w:lang w:eastAsia="it-IT"/>
              </w:rPr>
              <w:t xml:space="preserve"> </w:t>
            </w:r>
            <w:r>
              <w:rPr>
                <w:rFonts w:eastAsia="Times New Roman" w:cs="Calibri"/>
                <w:b/>
                <w:i/>
                <w:color w:val="000000"/>
                <w:sz w:val="20"/>
                <w:szCs w:val="20"/>
                <w:lang w:eastAsia="it-IT"/>
              </w:rPr>
              <w:t xml:space="preserve">       </w:t>
            </w:r>
            <w:r w:rsidRPr="001F20CC">
              <w:rPr>
                <w:rFonts w:eastAsia="Times New Roman" w:cs="Calibri"/>
                <w:b/>
                <w:i/>
                <w:color w:val="000000"/>
                <w:sz w:val="20"/>
                <w:szCs w:val="20"/>
                <w:lang w:eastAsia="it-IT"/>
              </w:rPr>
              <w:t>100</w:t>
            </w:r>
            <w:r>
              <w:rPr>
                <w:rFonts w:eastAsia="Times New Roman" w:cs="Calibri"/>
                <w:b/>
                <w:i/>
                <w:color w:val="000000"/>
                <w:sz w:val="20"/>
                <w:szCs w:val="20"/>
                <w:lang w:eastAsia="it-IT"/>
              </w:rPr>
              <w:t>.</w:t>
            </w:r>
            <w:r w:rsidRPr="001F20CC">
              <w:rPr>
                <w:rFonts w:eastAsia="Times New Roman" w:cs="Calibri"/>
                <w:b/>
                <w:i/>
                <w:color w:val="000000"/>
                <w:sz w:val="20"/>
                <w:szCs w:val="20"/>
                <w:lang w:eastAsia="it-IT"/>
              </w:rPr>
              <w:t>0</w:t>
            </w:r>
          </w:p>
        </w:tc>
        <w:tc>
          <w:tcPr>
            <w:tcW w:w="981" w:type="pct"/>
            <w:gridSpan w:val="2"/>
            <w:shd w:val="clear" w:color="auto" w:fill="auto"/>
            <w:noWrap/>
            <w:vAlign w:val="bottom"/>
            <w:hideMark/>
          </w:tcPr>
          <w:p w:rsidR="003E694C" w:rsidRPr="001F20CC" w:rsidRDefault="003E694C" w:rsidP="001752C2">
            <w:pPr>
              <w:spacing w:after="0" w:line="240" w:lineRule="auto"/>
              <w:rPr>
                <w:rFonts w:eastAsia="Times New Roman" w:cs="Calibri"/>
                <w:b/>
                <w:i/>
                <w:color w:val="000000"/>
                <w:sz w:val="20"/>
                <w:szCs w:val="20"/>
                <w:lang w:eastAsia="it-IT"/>
              </w:rPr>
            </w:pPr>
            <w:r w:rsidRPr="001F20CC">
              <w:rPr>
                <w:rFonts w:eastAsia="Times New Roman" w:cs="Calibri"/>
                <w:b/>
                <w:i/>
                <w:color w:val="000000"/>
                <w:sz w:val="20"/>
                <w:szCs w:val="20"/>
                <w:lang w:eastAsia="it-IT"/>
              </w:rPr>
              <w:t xml:space="preserve">  </w:t>
            </w:r>
            <w:r>
              <w:rPr>
                <w:rFonts w:eastAsia="Times New Roman" w:cs="Calibri"/>
                <w:b/>
                <w:i/>
                <w:color w:val="000000"/>
                <w:sz w:val="20"/>
                <w:szCs w:val="20"/>
                <w:lang w:eastAsia="it-IT"/>
              </w:rPr>
              <w:t xml:space="preserve">         </w:t>
            </w:r>
            <w:r w:rsidRPr="001F20CC">
              <w:rPr>
                <w:rFonts w:eastAsia="Times New Roman" w:cs="Calibri"/>
                <w:b/>
                <w:i/>
                <w:color w:val="000000"/>
                <w:sz w:val="20"/>
                <w:szCs w:val="20"/>
                <w:lang w:eastAsia="it-IT"/>
              </w:rPr>
              <w:t>100</w:t>
            </w:r>
            <w:r>
              <w:rPr>
                <w:rFonts w:eastAsia="Times New Roman" w:cs="Calibri"/>
                <w:b/>
                <w:i/>
                <w:color w:val="000000"/>
                <w:sz w:val="20"/>
                <w:szCs w:val="20"/>
                <w:lang w:eastAsia="it-IT"/>
              </w:rPr>
              <w:t>.</w:t>
            </w:r>
            <w:r w:rsidRPr="001F20CC">
              <w:rPr>
                <w:rFonts w:eastAsia="Times New Roman" w:cs="Calibri"/>
                <w:b/>
                <w:i/>
                <w:color w:val="000000"/>
                <w:sz w:val="20"/>
                <w:szCs w:val="20"/>
                <w:lang w:eastAsia="it-IT"/>
              </w:rPr>
              <w:t>0</w:t>
            </w:r>
          </w:p>
        </w:tc>
        <w:tc>
          <w:tcPr>
            <w:tcW w:w="889" w:type="pct"/>
            <w:gridSpan w:val="2"/>
            <w:shd w:val="clear" w:color="auto" w:fill="auto"/>
            <w:noWrap/>
            <w:vAlign w:val="bottom"/>
            <w:hideMark/>
          </w:tcPr>
          <w:p w:rsidR="003E694C" w:rsidRPr="001F20CC" w:rsidRDefault="003E694C" w:rsidP="001752C2">
            <w:pPr>
              <w:spacing w:after="0" w:line="240" w:lineRule="auto"/>
              <w:rPr>
                <w:rFonts w:eastAsia="Times New Roman" w:cs="Calibri"/>
                <w:b/>
                <w:i/>
                <w:color w:val="000000"/>
                <w:sz w:val="20"/>
                <w:szCs w:val="20"/>
                <w:lang w:eastAsia="it-IT"/>
              </w:rPr>
            </w:pPr>
            <w:r w:rsidRPr="001F20CC">
              <w:rPr>
                <w:rFonts w:eastAsia="Times New Roman" w:cs="Calibri"/>
                <w:b/>
                <w:i/>
                <w:color w:val="000000"/>
                <w:sz w:val="20"/>
                <w:szCs w:val="20"/>
                <w:lang w:eastAsia="it-IT"/>
              </w:rPr>
              <w:t xml:space="preserve"> </w:t>
            </w:r>
            <w:r>
              <w:rPr>
                <w:rFonts w:eastAsia="Times New Roman" w:cs="Calibri"/>
                <w:b/>
                <w:i/>
                <w:color w:val="000000"/>
                <w:sz w:val="20"/>
                <w:szCs w:val="20"/>
                <w:lang w:eastAsia="it-IT"/>
              </w:rPr>
              <w:t xml:space="preserve">       </w:t>
            </w:r>
            <w:r w:rsidRPr="001F20CC">
              <w:rPr>
                <w:rFonts w:eastAsia="Times New Roman" w:cs="Calibri"/>
                <w:b/>
                <w:i/>
                <w:color w:val="000000"/>
                <w:sz w:val="20"/>
                <w:szCs w:val="20"/>
                <w:lang w:eastAsia="it-IT"/>
              </w:rPr>
              <w:t>100</w:t>
            </w:r>
            <w:r>
              <w:rPr>
                <w:rFonts w:eastAsia="Times New Roman" w:cs="Calibri"/>
                <w:b/>
                <w:i/>
                <w:color w:val="000000"/>
                <w:sz w:val="20"/>
                <w:szCs w:val="20"/>
                <w:lang w:eastAsia="it-IT"/>
              </w:rPr>
              <w:t>.</w:t>
            </w:r>
            <w:r w:rsidRPr="001F20CC">
              <w:rPr>
                <w:rFonts w:eastAsia="Times New Roman" w:cs="Calibri"/>
                <w:b/>
                <w:i/>
                <w:color w:val="000000"/>
                <w:sz w:val="20"/>
                <w:szCs w:val="20"/>
                <w:lang w:eastAsia="it-IT"/>
              </w:rPr>
              <w:t>0</w:t>
            </w:r>
          </w:p>
        </w:tc>
        <w:tc>
          <w:tcPr>
            <w:tcW w:w="902" w:type="pct"/>
            <w:gridSpan w:val="2"/>
            <w:shd w:val="clear" w:color="auto" w:fill="auto"/>
            <w:noWrap/>
            <w:vAlign w:val="bottom"/>
            <w:hideMark/>
          </w:tcPr>
          <w:p w:rsidR="003E694C" w:rsidRPr="003869DF" w:rsidRDefault="003E694C" w:rsidP="001752C2">
            <w:pPr>
              <w:spacing w:after="0" w:line="240" w:lineRule="auto"/>
              <w:rPr>
                <w:rFonts w:eastAsia="Times New Roman" w:cs="Calibri"/>
                <w:b/>
                <w:i/>
                <w:color w:val="000000"/>
                <w:sz w:val="20"/>
                <w:szCs w:val="20"/>
                <w:lang w:val="en-US" w:eastAsia="it-IT"/>
              </w:rPr>
            </w:pPr>
            <w:r w:rsidRPr="001F20CC">
              <w:rPr>
                <w:rFonts w:eastAsia="Times New Roman" w:cs="Calibri"/>
                <w:b/>
                <w:i/>
                <w:color w:val="000000"/>
                <w:sz w:val="20"/>
                <w:szCs w:val="20"/>
                <w:lang w:eastAsia="it-IT"/>
              </w:rPr>
              <w:t xml:space="preserve"> </w:t>
            </w:r>
            <w:r>
              <w:rPr>
                <w:rFonts w:eastAsia="Times New Roman" w:cs="Calibri"/>
                <w:b/>
                <w:i/>
                <w:color w:val="000000"/>
                <w:sz w:val="20"/>
                <w:szCs w:val="20"/>
                <w:lang w:eastAsia="it-IT"/>
              </w:rPr>
              <w:t xml:space="preserve">        </w:t>
            </w:r>
            <w:r w:rsidRPr="003869DF">
              <w:rPr>
                <w:rFonts w:eastAsia="Times New Roman" w:cs="Calibri"/>
                <w:b/>
                <w:i/>
                <w:color w:val="000000"/>
                <w:sz w:val="20"/>
                <w:szCs w:val="20"/>
                <w:lang w:val="en-US" w:eastAsia="it-IT"/>
              </w:rPr>
              <w:t>100.0</w:t>
            </w:r>
          </w:p>
        </w:tc>
      </w:tr>
    </w:tbl>
    <w:p w:rsidR="008608CD" w:rsidRDefault="008608CD" w:rsidP="008608CD">
      <w:pPr>
        <w:pStyle w:val="Default"/>
        <w:spacing w:before="240" w:line="360" w:lineRule="auto"/>
        <w:jc w:val="both"/>
        <w:rPr>
          <w:rFonts w:ascii="Times New Roman" w:hAnsi="Times New Roman" w:cs="Times New Roman"/>
          <w:lang w:val="en-US"/>
        </w:rPr>
      </w:pPr>
      <w:r w:rsidRPr="007972EE">
        <w:rPr>
          <w:rFonts w:ascii="Times New Roman" w:hAnsi="Times New Roman" w:cs="Times New Roman"/>
          <w:lang w:val="en-US"/>
        </w:rPr>
        <w:t xml:space="preserve">Before estimation, </w:t>
      </w:r>
      <w:r>
        <w:rPr>
          <w:rFonts w:ascii="Times New Roman" w:hAnsi="Times New Roman" w:cs="Times New Roman"/>
          <w:lang w:val="en-US"/>
        </w:rPr>
        <w:t>the</w:t>
      </w:r>
      <w:r w:rsidRPr="007972EE">
        <w:rPr>
          <w:rFonts w:ascii="Times New Roman" w:hAnsi="Times New Roman" w:cs="Times New Roman"/>
          <w:lang w:val="en-US"/>
        </w:rPr>
        <w:t xml:space="preserve"> integrated data</w:t>
      </w:r>
      <w:r>
        <w:rPr>
          <w:rFonts w:ascii="Times New Roman" w:hAnsi="Times New Roman" w:cs="Times New Roman"/>
          <w:lang w:val="en-US"/>
        </w:rPr>
        <w:t>base</w:t>
      </w:r>
      <w:r w:rsidRPr="007972EE">
        <w:rPr>
          <w:rFonts w:ascii="Times New Roman" w:hAnsi="Times New Roman" w:cs="Times New Roman"/>
          <w:lang w:val="en-US"/>
        </w:rPr>
        <w:t xml:space="preserve"> w</w:t>
      </w:r>
      <w:r>
        <w:rPr>
          <w:rFonts w:ascii="Times New Roman" w:hAnsi="Times New Roman" w:cs="Times New Roman"/>
          <w:lang w:val="en-US"/>
        </w:rPr>
        <w:t>as</w:t>
      </w:r>
      <w:r w:rsidRPr="007972EE">
        <w:rPr>
          <w:rFonts w:ascii="Times New Roman" w:hAnsi="Times New Roman" w:cs="Times New Roman"/>
          <w:lang w:val="en-US"/>
        </w:rPr>
        <w:t xml:space="preserve"> </w:t>
      </w:r>
      <w:r>
        <w:rPr>
          <w:rFonts w:ascii="Times New Roman" w:hAnsi="Times New Roman" w:cs="Times New Roman"/>
          <w:lang w:val="en-US"/>
        </w:rPr>
        <w:t xml:space="preserve">edited </w:t>
      </w:r>
      <w:r w:rsidRPr="007972EE">
        <w:rPr>
          <w:rFonts w:ascii="Times New Roman" w:hAnsi="Times New Roman" w:cs="Times New Roman"/>
          <w:lang w:val="en-US"/>
        </w:rPr>
        <w:t xml:space="preserve">in order to identify possible influential </w:t>
      </w:r>
      <w:r>
        <w:rPr>
          <w:rFonts w:ascii="Times New Roman" w:hAnsi="Times New Roman" w:cs="Times New Roman"/>
          <w:lang w:val="en-US"/>
        </w:rPr>
        <w:t>errors: based on a</w:t>
      </w:r>
      <w:r w:rsidRPr="007972EE">
        <w:rPr>
          <w:rFonts w:ascii="Times New Roman" w:hAnsi="Times New Roman" w:cs="Times New Roman"/>
          <w:lang w:val="en-US"/>
        </w:rPr>
        <w:t xml:space="preserve"> model-based selective editing approach (</w:t>
      </w:r>
      <w:r>
        <w:rPr>
          <w:rFonts w:ascii="Times New Roman" w:hAnsi="Times New Roman" w:cs="Times New Roman"/>
          <w:lang w:val="en-US"/>
        </w:rPr>
        <w:t>[4]</w:t>
      </w:r>
      <w:r w:rsidRPr="007972EE">
        <w:rPr>
          <w:rFonts w:ascii="Times New Roman" w:hAnsi="Times New Roman" w:cs="Times New Roman"/>
          <w:lang w:val="en-US"/>
        </w:rPr>
        <w:t>)</w:t>
      </w:r>
      <w:r>
        <w:rPr>
          <w:rFonts w:ascii="Times New Roman" w:hAnsi="Times New Roman" w:cs="Times New Roman"/>
          <w:lang w:val="en-US"/>
        </w:rPr>
        <w:t>, we identified</w:t>
      </w:r>
      <w:r w:rsidRPr="007972EE">
        <w:rPr>
          <w:rFonts w:ascii="Times New Roman" w:hAnsi="Times New Roman" w:cs="Times New Roman"/>
          <w:lang w:val="en-US"/>
        </w:rPr>
        <w:t xml:space="preserve"> </w:t>
      </w:r>
      <w:r>
        <w:rPr>
          <w:rFonts w:ascii="Times New Roman" w:hAnsi="Times New Roman" w:cs="Times New Roman"/>
          <w:lang w:val="en-US"/>
        </w:rPr>
        <w:t xml:space="preserve">the </w:t>
      </w:r>
      <w:r w:rsidRPr="007972EE">
        <w:rPr>
          <w:rFonts w:ascii="Times New Roman" w:hAnsi="Times New Roman" w:cs="Times New Roman"/>
          <w:lang w:val="en-US"/>
        </w:rPr>
        <w:t>influent</w:t>
      </w:r>
      <w:r>
        <w:rPr>
          <w:rFonts w:ascii="Times New Roman" w:hAnsi="Times New Roman" w:cs="Times New Roman"/>
          <w:lang w:val="en-US"/>
        </w:rPr>
        <w:t xml:space="preserve">ial </w:t>
      </w:r>
      <w:r w:rsidRPr="007972EE">
        <w:rPr>
          <w:rFonts w:ascii="Times New Roman" w:hAnsi="Times New Roman" w:cs="Times New Roman"/>
          <w:lang w:val="en-US"/>
        </w:rPr>
        <w:t xml:space="preserve">units on the </w:t>
      </w:r>
      <w:r>
        <w:rPr>
          <w:rFonts w:ascii="Times New Roman" w:hAnsi="Times New Roman" w:cs="Times New Roman"/>
          <w:lang w:val="en-US"/>
        </w:rPr>
        <w:lastRenderedPageBreak/>
        <w:t xml:space="preserve">estimates of the </w:t>
      </w:r>
      <w:r w:rsidRPr="00275AF1">
        <w:rPr>
          <w:rFonts w:ascii="Times New Roman" w:hAnsi="Times New Roman" w:cs="Times New Roman"/>
          <w:lang w:val="en-US"/>
        </w:rPr>
        <w:t xml:space="preserve">population total </w:t>
      </w:r>
      <w:r>
        <w:rPr>
          <w:rFonts w:ascii="Times New Roman" w:hAnsi="Times New Roman" w:cs="Times New Roman"/>
          <w:lang w:val="en-US"/>
        </w:rPr>
        <w:t>(</w:t>
      </w:r>
      <w:r w:rsidRPr="00275AF1">
        <w:rPr>
          <w:rFonts w:ascii="Times New Roman" w:hAnsi="Times New Roman" w:cs="Times New Roman"/>
          <w:i/>
          <w:lang w:val="en-US"/>
        </w:rPr>
        <w:t>T</w:t>
      </w:r>
      <w:r w:rsidRPr="00275AF1">
        <w:rPr>
          <w:rFonts w:ascii="Times New Roman" w:hAnsi="Times New Roman" w:cs="Times New Roman"/>
          <w:i/>
          <w:vertAlign w:val="subscript"/>
          <w:lang w:val="en-US"/>
        </w:rPr>
        <w:t>y</w:t>
      </w:r>
      <w:r>
        <w:rPr>
          <w:rFonts w:ascii="Times New Roman" w:hAnsi="Times New Roman" w:cs="Times New Roman"/>
          <w:lang w:val="en-US"/>
        </w:rPr>
        <w:t xml:space="preserve">) </w:t>
      </w:r>
      <w:r w:rsidRPr="007972EE">
        <w:rPr>
          <w:rFonts w:ascii="Times New Roman" w:hAnsi="Times New Roman" w:cs="Times New Roman"/>
          <w:lang w:val="en-US"/>
        </w:rPr>
        <w:t xml:space="preserve">of </w:t>
      </w:r>
      <w:r w:rsidRPr="00275AF1">
        <w:rPr>
          <w:rFonts w:ascii="Times New Roman" w:hAnsi="Times New Roman" w:cs="Times New Roman"/>
          <w:i/>
          <w:lang w:val="en-US"/>
        </w:rPr>
        <w:t>Value added</w:t>
      </w:r>
      <w:r w:rsidRPr="007972EE">
        <w:rPr>
          <w:rFonts w:ascii="Times New Roman" w:hAnsi="Times New Roman" w:cs="Times New Roman"/>
          <w:lang w:val="en-US"/>
        </w:rPr>
        <w:t xml:space="preserve"> and </w:t>
      </w:r>
      <w:r w:rsidRPr="00275AF1">
        <w:rPr>
          <w:rFonts w:ascii="Times New Roman" w:hAnsi="Times New Roman" w:cs="Times New Roman"/>
          <w:i/>
          <w:lang w:val="en-US"/>
        </w:rPr>
        <w:t>Intermediate costs</w:t>
      </w:r>
      <w:r w:rsidRPr="007972EE">
        <w:rPr>
          <w:rFonts w:ascii="Times New Roman" w:hAnsi="Times New Roman" w:cs="Times New Roman"/>
          <w:lang w:val="en-US"/>
        </w:rPr>
        <w:t xml:space="preserve"> </w:t>
      </w:r>
      <w:r>
        <w:rPr>
          <w:rFonts w:ascii="Times New Roman" w:hAnsi="Times New Roman" w:cs="Times New Roman"/>
          <w:lang w:val="en-US"/>
        </w:rPr>
        <w:t>by</w:t>
      </w:r>
      <w:r w:rsidRPr="007972EE">
        <w:rPr>
          <w:rFonts w:ascii="Times New Roman" w:hAnsi="Times New Roman" w:cs="Times New Roman"/>
          <w:lang w:val="en-US"/>
        </w:rPr>
        <w:t xml:space="preserve"> economic </w:t>
      </w:r>
      <w:r>
        <w:rPr>
          <w:rFonts w:ascii="Times New Roman" w:hAnsi="Times New Roman" w:cs="Times New Roman"/>
          <w:lang w:val="en-US"/>
        </w:rPr>
        <w:t xml:space="preserve">activity </w:t>
      </w:r>
      <w:r w:rsidRPr="007972EE">
        <w:rPr>
          <w:rFonts w:ascii="Times New Roman" w:hAnsi="Times New Roman" w:cs="Times New Roman"/>
          <w:lang w:val="en-US"/>
        </w:rPr>
        <w:t xml:space="preserve">(98 branches of economic activity). Auxiliary information used in models </w:t>
      </w:r>
      <w:r>
        <w:rPr>
          <w:rFonts w:ascii="Times New Roman" w:hAnsi="Times New Roman" w:cs="Times New Roman"/>
          <w:lang w:val="en-US"/>
        </w:rPr>
        <w:t>were</w:t>
      </w:r>
      <w:r w:rsidRPr="007972EE">
        <w:rPr>
          <w:rFonts w:ascii="Times New Roman" w:hAnsi="Times New Roman" w:cs="Times New Roman"/>
          <w:lang w:val="en-US"/>
        </w:rPr>
        <w:t xml:space="preserve"> </w:t>
      </w:r>
      <w:r>
        <w:rPr>
          <w:rFonts w:ascii="Times New Roman" w:hAnsi="Times New Roman" w:cs="Times New Roman"/>
          <w:i/>
          <w:lang w:val="en-US"/>
        </w:rPr>
        <w:t>T</w:t>
      </w:r>
      <w:r w:rsidRPr="007972EE">
        <w:rPr>
          <w:rFonts w:ascii="Times New Roman" w:hAnsi="Times New Roman" w:cs="Times New Roman"/>
          <w:i/>
          <w:lang w:val="en-US"/>
        </w:rPr>
        <w:t xml:space="preserve">urnover, </w:t>
      </w:r>
      <w:r>
        <w:rPr>
          <w:rFonts w:ascii="Times New Roman" w:hAnsi="Times New Roman" w:cs="Times New Roman"/>
          <w:i/>
          <w:lang w:val="en-US"/>
        </w:rPr>
        <w:t>N</w:t>
      </w:r>
      <w:r w:rsidRPr="007972EE">
        <w:rPr>
          <w:rFonts w:ascii="Times New Roman" w:hAnsi="Times New Roman" w:cs="Times New Roman"/>
          <w:i/>
          <w:lang w:val="en-US"/>
        </w:rPr>
        <w:t>umber of employees</w:t>
      </w:r>
      <w:r>
        <w:rPr>
          <w:rFonts w:ascii="Times New Roman" w:hAnsi="Times New Roman" w:cs="Times New Roman"/>
          <w:lang w:val="en-US"/>
        </w:rPr>
        <w:t xml:space="preserve">, </w:t>
      </w:r>
      <w:r>
        <w:rPr>
          <w:rFonts w:ascii="Times New Roman" w:hAnsi="Times New Roman" w:cs="Times New Roman"/>
          <w:i/>
          <w:lang w:val="en-US"/>
        </w:rPr>
        <w:t>P</w:t>
      </w:r>
      <w:r w:rsidRPr="007972EE">
        <w:rPr>
          <w:rFonts w:ascii="Times New Roman" w:hAnsi="Times New Roman" w:cs="Times New Roman"/>
          <w:i/>
          <w:lang w:val="en-US"/>
        </w:rPr>
        <w:t>ersonnel cost</w:t>
      </w:r>
      <w:r w:rsidRPr="007972EE">
        <w:rPr>
          <w:rFonts w:ascii="Times New Roman" w:hAnsi="Times New Roman" w:cs="Times New Roman"/>
          <w:lang w:val="en-US"/>
        </w:rPr>
        <w:t xml:space="preserve"> (for enterprises with at least one employee). </w:t>
      </w:r>
      <w:r>
        <w:rPr>
          <w:rFonts w:ascii="Times New Roman" w:hAnsi="Times New Roman" w:cs="Times New Roman"/>
          <w:lang w:val="en-US"/>
        </w:rPr>
        <w:t>Fixed at level 0.05 the</w:t>
      </w:r>
      <w:r w:rsidRPr="007972EE">
        <w:rPr>
          <w:rFonts w:ascii="Times New Roman" w:hAnsi="Times New Roman" w:cs="Times New Roman"/>
          <w:lang w:val="en-US"/>
        </w:rPr>
        <w:t xml:space="preserve"> </w:t>
      </w:r>
      <w:r>
        <w:rPr>
          <w:rFonts w:ascii="Times New Roman" w:hAnsi="Times New Roman" w:cs="Times New Roman"/>
          <w:lang w:val="en-US"/>
        </w:rPr>
        <w:t xml:space="preserve">estimated error remaining in data after selective editing, </w:t>
      </w:r>
      <w:r w:rsidRPr="007972EE">
        <w:rPr>
          <w:rFonts w:ascii="Times New Roman" w:hAnsi="Times New Roman" w:cs="Times New Roman"/>
          <w:lang w:val="en-US"/>
        </w:rPr>
        <w:t xml:space="preserve">1,685 critical units were </w:t>
      </w:r>
      <w:r>
        <w:rPr>
          <w:rFonts w:ascii="Times New Roman" w:hAnsi="Times New Roman" w:cs="Times New Roman"/>
          <w:lang w:val="en-US"/>
        </w:rPr>
        <w:t xml:space="preserve">selected </w:t>
      </w:r>
      <w:r w:rsidRPr="007972EE">
        <w:rPr>
          <w:rFonts w:ascii="Times New Roman" w:hAnsi="Times New Roman" w:cs="Times New Roman"/>
          <w:lang w:val="en-US"/>
        </w:rPr>
        <w:t xml:space="preserve">(about 0.04% of the total </w:t>
      </w:r>
      <w:r>
        <w:rPr>
          <w:rFonts w:ascii="Times New Roman" w:hAnsi="Times New Roman" w:cs="Times New Roman"/>
          <w:lang w:val="en-US"/>
        </w:rPr>
        <w:t>edited</w:t>
      </w:r>
      <w:r w:rsidRPr="007972EE">
        <w:rPr>
          <w:rFonts w:ascii="Times New Roman" w:hAnsi="Times New Roman" w:cs="Times New Roman"/>
          <w:lang w:val="en-US"/>
        </w:rPr>
        <w:t xml:space="preserve"> units)</w:t>
      </w:r>
      <w:r>
        <w:rPr>
          <w:rFonts w:ascii="Times New Roman" w:hAnsi="Times New Roman" w:cs="Times New Roman"/>
          <w:lang w:val="en-US"/>
        </w:rPr>
        <w:t xml:space="preserve"> for </w:t>
      </w:r>
      <w:r w:rsidRPr="007972EE">
        <w:rPr>
          <w:rFonts w:ascii="Times New Roman" w:hAnsi="Times New Roman" w:cs="Times New Roman"/>
          <w:lang w:val="en-US"/>
        </w:rPr>
        <w:t>interactive analysis</w:t>
      </w:r>
      <w:r>
        <w:rPr>
          <w:rFonts w:ascii="Times New Roman" w:hAnsi="Times New Roman" w:cs="Times New Roman"/>
          <w:lang w:val="en-US"/>
        </w:rPr>
        <w:t xml:space="preserve">: the manual inspection </w:t>
      </w:r>
      <w:r w:rsidRPr="006A4114">
        <w:rPr>
          <w:rFonts w:ascii="Times New Roman" w:hAnsi="Times New Roman" w:cs="Times New Roman"/>
          <w:lang w:val="en-US"/>
        </w:rPr>
        <w:t xml:space="preserve">has determined in some cases the </w:t>
      </w:r>
      <w:r>
        <w:rPr>
          <w:rFonts w:ascii="Times New Roman" w:hAnsi="Times New Roman" w:cs="Times New Roman"/>
          <w:lang w:val="en-US"/>
        </w:rPr>
        <w:t>manual data</w:t>
      </w:r>
      <w:r w:rsidRPr="006A4114">
        <w:rPr>
          <w:rFonts w:ascii="Times New Roman" w:hAnsi="Times New Roman" w:cs="Times New Roman"/>
          <w:lang w:val="en-US"/>
        </w:rPr>
        <w:t xml:space="preserve"> correction, in other cases the acceptance of the values, in other cases the cancellation of the values and </w:t>
      </w:r>
      <w:r>
        <w:rPr>
          <w:rFonts w:ascii="Times New Roman" w:hAnsi="Times New Roman" w:cs="Times New Roman"/>
          <w:lang w:val="en-US"/>
        </w:rPr>
        <w:t xml:space="preserve">their </w:t>
      </w:r>
      <w:r w:rsidRPr="006A4114">
        <w:rPr>
          <w:rFonts w:ascii="Times New Roman" w:hAnsi="Times New Roman" w:cs="Times New Roman"/>
          <w:lang w:val="en-US"/>
        </w:rPr>
        <w:t xml:space="preserve">automatic </w:t>
      </w:r>
      <w:r w:rsidRPr="007972EE">
        <w:rPr>
          <w:rFonts w:ascii="Times New Roman" w:hAnsi="Times New Roman" w:cs="Times New Roman"/>
          <w:lang w:val="en-US"/>
        </w:rPr>
        <w:t>imputation.</w:t>
      </w:r>
    </w:p>
    <w:p w:rsidR="003E694C" w:rsidRPr="009F244F" w:rsidRDefault="003E694C" w:rsidP="0061051D">
      <w:pPr>
        <w:numPr>
          <w:ilvl w:val="0"/>
          <w:numId w:val="7"/>
        </w:numPr>
        <w:tabs>
          <w:tab w:val="left" w:pos="426"/>
        </w:tabs>
        <w:spacing w:before="360" w:after="0" w:line="240" w:lineRule="auto"/>
        <w:ind w:left="0" w:firstLine="0"/>
        <w:rPr>
          <w:rFonts w:ascii="Times New Roman" w:eastAsia="Times New Roman" w:hAnsi="Times New Roman" w:cs="Times New Roman"/>
          <w:b/>
          <w:sz w:val="24"/>
          <w:szCs w:val="24"/>
          <w:lang w:val="en-CA" w:eastAsia="en-CA"/>
        </w:rPr>
      </w:pPr>
      <w:r w:rsidRPr="009F244F">
        <w:rPr>
          <w:rFonts w:ascii="Times New Roman" w:eastAsia="Times New Roman" w:hAnsi="Times New Roman" w:cs="Times New Roman"/>
          <w:b/>
          <w:sz w:val="24"/>
          <w:szCs w:val="24"/>
          <w:lang w:val="en-CA" w:eastAsia="en-CA"/>
        </w:rPr>
        <w:t>The estimation strategy</w:t>
      </w:r>
    </w:p>
    <w:p w:rsidR="00445103" w:rsidRPr="009F244F" w:rsidRDefault="003E694C" w:rsidP="00A20458">
      <w:pPr>
        <w:pStyle w:val="Default"/>
        <w:spacing w:before="240" w:line="360" w:lineRule="auto"/>
        <w:jc w:val="both"/>
        <w:rPr>
          <w:rFonts w:ascii="Times New Roman" w:hAnsi="Times New Roman" w:cs="Times New Roman"/>
          <w:lang w:val="en-US"/>
        </w:rPr>
      </w:pPr>
      <w:r w:rsidRPr="009F244F">
        <w:rPr>
          <w:rFonts w:ascii="Times New Roman" w:hAnsi="Times New Roman" w:cs="Times New Roman"/>
          <w:lang w:val="en-US"/>
        </w:rPr>
        <w:t xml:space="preserve">In order to </w:t>
      </w:r>
      <w:r w:rsidR="009F244F" w:rsidRPr="009F244F">
        <w:rPr>
          <w:rFonts w:ascii="Times New Roman" w:hAnsi="Times New Roman" w:cs="Times New Roman"/>
          <w:lang w:val="en-US"/>
        </w:rPr>
        <w:t xml:space="preserve">obtain </w:t>
      </w:r>
      <w:r w:rsidRPr="009F244F">
        <w:rPr>
          <w:rFonts w:ascii="Times New Roman" w:hAnsi="Times New Roman" w:cs="Times New Roman"/>
          <w:lang w:val="en-US"/>
        </w:rPr>
        <w:t xml:space="preserve">the SBS estimates, a hybrid procedure has been adopted: a model based (predictive) approach for estimating the </w:t>
      </w:r>
      <w:r w:rsidR="00136642">
        <w:rPr>
          <w:rFonts w:ascii="Times New Roman" w:hAnsi="Times New Roman" w:cs="Times New Roman"/>
          <w:i/>
          <w:lang w:val="en-US"/>
        </w:rPr>
        <w:t xml:space="preserve">main </w:t>
      </w:r>
      <w:r w:rsidR="00136642" w:rsidRPr="00136642">
        <w:rPr>
          <w:rFonts w:ascii="Times New Roman" w:hAnsi="Times New Roman" w:cs="Times New Roman"/>
          <w:i/>
          <w:lang w:val="en-US"/>
        </w:rPr>
        <w:t>economic aggregates</w:t>
      </w:r>
      <w:r w:rsidRPr="009F244F">
        <w:rPr>
          <w:rFonts w:ascii="Times New Roman" w:hAnsi="Times New Roman" w:cs="Times New Roman"/>
          <w:lang w:val="en-US"/>
        </w:rPr>
        <w:t xml:space="preserve">, and a design based (model assisted) approach for the </w:t>
      </w:r>
      <w:r w:rsidR="00136642" w:rsidRPr="00136642">
        <w:rPr>
          <w:rFonts w:ascii="Times New Roman" w:hAnsi="Times New Roman" w:cs="Times New Roman"/>
          <w:i/>
          <w:lang w:val="en-US"/>
        </w:rPr>
        <w:t xml:space="preserve">components of the main </w:t>
      </w:r>
      <w:r w:rsidR="00136642">
        <w:rPr>
          <w:rFonts w:ascii="Times New Roman" w:hAnsi="Times New Roman" w:cs="Times New Roman"/>
          <w:i/>
          <w:lang w:val="en-US"/>
        </w:rPr>
        <w:t xml:space="preserve">economic </w:t>
      </w:r>
      <w:r w:rsidR="00F97276">
        <w:rPr>
          <w:rFonts w:ascii="Times New Roman" w:hAnsi="Times New Roman" w:cs="Times New Roman"/>
          <w:i/>
          <w:lang w:val="en-US"/>
        </w:rPr>
        <w:t>aggregates</w:t>
      </w:r>
      <w:r w:rsidRPr="009F244F">
        <w:rPr>
          <w:rFonts w:ascii="Times New Roman" w:hAnsi="Times New Roman" w:cs="Times New Roman"/>
          <w:lang w:val="en-US"/>
        </w:rPr>
        <w:t>.</w:t>
      </w:r>
    </w:p>
    <w:p w:rsidR="00445103" w:rsidRPr="00F4427C" w:rsidRDefault="00445103" w:rsidP="007D5AD7">
      <w:pPr>
        <w:pStyle w:val="Default"/>
        <w:numPr>
          <w:ilvl w:val="1"/>
          <w:numId w:val="7"/>
        </w:numPr>
        <w:spacing w:before="360" w:after="240"/>
        <w:ind w:left="714" w:hanging="357"/>
        <w:jc w:val="both"/>
        <w:rPr>
          <w:rFonts w:ascii="Times New Roman" w:hAnsi="Times New Roman" w:cs="Times New Roman"/>
          <w:i/>
          <w:lang w:val="en-US"/>
        </w:rPr>
      </w:pPr>
      <w:bookmarkStart w:id="0" w:name="_GoBack"/>
      <w:r w:rsidRPr="00F4427C">
        <w:rPr>
          <w:rFonts w:ascii="Times New Roman" w:hAnsi="Times New Roman" w:cs="Times New Roman"/>
          <w:i/>
          <w:lang w:val="en-US"/>
        </w:rPr>
        <w:t xml:space="preserve">Imputation of </w:t>
      </w:r>
      <w:r w:rsidR="00A47A9E" w:rsidRPr="00F4427C">
        <w:rPr>
          <w:rFonts w:ascii="Times New Roman" w:hAnsi="Times New Roman" w:cs="Times New Roman"/>
          <w:i/>
          <w:lang w:val="en-US"/>
        </w:rPr>
        <w:t xml:space="preserve">the </w:t>
      </w:r>
      <w:r w:rsidRPr="00F4427C">
        <w:rPr>
          <w:rFonts w:ascii="Times New Roman" w:hAnsi="Times New Roman" w:cs="Times New Roman"/>
          <w:i/>
          <w:lang w:val="en-US"/>
        </w:rPr>
        <w:t xml:space="preserve">main </w:t>
      </w:r>
      <w:r w:rsidR="00136642" w:rsidRPr="00136642">
        <w:rPr>
          <w:rFonts w:ascii="Times New Roman" w:hAnsi="Times New Roman" w:cs="Times New Roman"/>
          <w:i/>
          <w:lang w:val="en-US"/>
        </w:rPr>
        <w:t>economic aggregates</w:t>
      </w:r>
    </w:p>
    <w:bookmarkEnd w:id="0"/>
    <w:p w:rsidR="00F4427C" w:rsidRPr="00F4427C" w:rsidRDefault="003E694C" w:rsidP="00F4427C">
      <w:pPr>
        <w:pStyle w:val="Default"/>
        <w:spacing w:line="360" w:lineRule="auto"/>
        <w:jc w:val="both"/>
        <w:rPr>
          <w:rFonts w:ascii="Times New Roman" w:hAnsi="Times New Roman" w:cs="Times New Roman"/>
          <w:lang w:val="en-US"/>
        </w:rPr>
      </w:pPr>
      <w:r w:rsidRPr="00F4427C">
        <w:rPr>
          <w:rFonts w:ascii="Times New Roman" w:hAnsi="Times New Roman" w:cs="Times New Roman"/>
          <w:lang w:val="en-US"/>
        </w:rPr>
        <w:t xml:space="preserve">For the main target variables, the predictive approach naturally leads to build a </w:t>
      </w:r>
      <w:proofErr w:type="spellStart"/>
      <w:r w:rsidRPr="00F4427C">
        <w:rPr>
          <w:rFonts w:ascii="Times New Roman" w:hAnsi="Times New Roman" w:cs="Times New Roman"/>
          <w:lang w:val="en-US"/>
        </w:rPr>
        <w:t>microdata</w:t>
      </w:r>
      <w:proofErr w:type="spellEnd"/>
      <w:r w:rsidRPr="00F4427C">
        <w:rPr>
          <w:rFonts w:ascii="Times New Roman" w:hAnsi="Times New Roman" w:cs="Times New Roman"/>
          <w:lang w:val="en-US"/>
        </w:rPr>
        <w:t xml:space="preserve"> file where the not available information is predicted (imputed) based on the observed data. When some item is available from more than one data source, the corresponding value is chosen from the “more liable” source, according to the hierarchy illustrated in the previous section. In Table 3 the variables treated in the first phase are listed together</w:t>
      </w:r>
      <w:r w:rsidR="00F4427C">
        <w:rPr>
          <w:rFonts w:ascii="Times New Roman" w:hAnsi="Times New Roman" w:cs="Times New Roman"/>
          <w:lang w:val="en-US"/>
        </w:rPr>
        <w:t xml:space="preserve"> with the corresponding labels. </w:t>
      </w:r>
      <w:r w:rsidR="00F4427C" w:rsidRPr="00F4427C">
        <w:rPr>
          <w:rFonts w:ascii="Times New Roman" w:hAnsi="Times New Roman" w:cs="Times New Roman"/>
          <w:lang w:val="en-US"/>
        </w:rPr>
        <w:t xml:space="preserve">It is worthwhile to remind that the variable </w:t>
      </w:r>
      <w:r w:rsidR="00F4427C" w:rsidRPr="00F4427C">
        <w:rPr>
          <w:rFonts w:ascii="Times New Roman" w:hAnsi="Times New Roman" w:cs="Times New Roman"/>
          <w:i/>
          <w:lang w:val="en-US"/>
        </w:rPr>
        <w:t>PC</w:t>
      </w:r>
      <w:r w:rsidR="00F4427C" w:rsidRPr="00F4427C">
        <w:rPr>
          <w:rFonts w:ascii="Times New Roman" w:hAnsi="Times New Roman" w:cs="Times New Roman"/>
          <w:lang w:val="en-US"/>
        </w:rPr>
        <w:t xml:space="preserve"> (</w:t>
      </w:r>
      <w:r w:rsidR="00F4427C" w:rsidRPr="00F4427C">
        <w:rPr>
          <w:rFonts w:ascii="Times New Roman" w:hAnsi="Times New Roman" w:cs="Times New Roman"/>
          <w:i/>
          <w:lang w:val="en-US"/>
        </w:rPr>
        <w:t>Personnel Costs</w:t>
      </w:r>
      <w:r w:rsidR="00F4427C" w:rsidRPr="00F4427C">
        <w:rPr>
          <w:rFonts w:ascii="Times New Roman" w:hAnsi="Times New Roman" w:cs="Times New Roman"/>
          <w:lang w:val="en-US"/>
        </w:rPr>
        <w:t xml:space="preserve">) is always available, thus it is used as an auxiliary variable in the imputation procedure. Moreover, in some cases, linear combinations of the variables in Table 3, instead of their own values, are observed. </w:t>
      </w:r>
    </w:p>
    <w:p w:rsidR="003E694C" w:rsidRPr="00F4427C" w:rsidRDefault="003E694C" w:rsidP="00CE63FD">
      <w:pPr>
        <w:pStyle w:val="Default"/>
        <w:spacing w:before="240" w:after="120"/>
        <w:jc w:val="both"/>
        <w:rPr>
          <w:rFonts w:ascii="Times New Roman" w:hAnsi="Times New Roman" w:cs="Times New Roman"/>
          <w:i/>
          <w:lang w:val="en-US"/>
        </w:rPr>
      </w:pPr>
      <w:r w:rsidRPr="00F4427C">
        <w:rPr>
          <w:rFonts w:ascii="Times New Roman" w:hAnsi="Times New Roman" w:cs="Times New Roman"/>
          <w:i/>
          <w:lang w:val="en-US"/>
        </w:rPr>
        <w:t>Table 3 – Variables treated in the first estimation phase</w:t>
      </w:r>
    </w:p>
    <w:tbl>
      <w:tblPr>
        <w:tblStyle w:val="Grigliatabella"/>
        <w:tblW w:w="0" w:type="auto"/>
        <w:tblLook w:val="04A0" w:firstRow="1" w:lastRow="0" w:firstColumn="1" w:lastColumn="0" w:noHBand="0" w:noVBand="1"/>
      </w:tblPr>
      <w:tblGrid>
        <w:gridCol w:w="1242"/>
        <w:gridCol w:w="709"/>
        <w:gridCol w:w="7827"/>
      </w:tblGrid>
      <w:tr w:rsidR="003E694C" w:rsidRPr="0051237C" w:rsidTr="001752C2">
        <w:tc>
          <w:tcPr>
            <w:tcW w:w="1242" w:type="dxa"/>
            <w:tcBorders>
              <w:bottom w:val="single" w:sz="4" w:space="0" w:color="auto"/>
            </w:tcBorders>
          </w:tcPr>
          <w:p w:rsidR="003E694C" w:rsidRPr="0051237C" w:rsidRDefault="003E694C" w:rsidP="001752C2">
            <w:pPr>
              <w:pStyle w:val="Default"/>
              <w:jc w:val="center"/>
              <w:rPr>
                <w:rFonts w:ascii="Times New Roman" w:hAnsi="Times New Roman" w:cs="Times New Roman"/>
                <w:b/>
                <w:sz w:val="20"/>
                <w:szCs w:val="20"/>
                <w:lang w:val="en-US"/>
              </w:rPr>
            </w:pPr>
            <w:r w:rsidRPr="0051237C">
              <w:rPr>
                <w:rFonts w:ascii="Times New Roman" w:hAnsi="Times New Roman" w:cs="Times New Roman"/>
                <w:b/>
                <w:sz w:val="20"/>
                <w:szCs w:val="20"/>
                <w:lang w:val="en-US"/>
              </w:rPr>
              <w:t>Section</w:t>
            </w:r>
          </w:p>
        </w:tc>
        <w:tc>
          <w:tcPr>
            <w:tcW w:w="709" w:type="dxa"/>
          </w:tcPr>
          <w:p w:rsidR="003E694C" w:rsidRPr="0051237C" w:rsidRDefault="003E694C" w:rsidP="001752C2">
            <w:pPr>
              <w:pStyle w:val="Default"/>
              <w:rPr>
                <w:rFonts w:ascii="Times New Roman" w:hAnsi="Times New Roman" w:cs="Times New Roman"/>
                <w:b/>
                <w:sz w:val="20"/>
                <w:szCs w:val="20"/>
                <w:lang w:val="en-US"/>
              </w:rPr>
            </w:pPr>
            <w:r w:rsidRPr="0051237C">
              <w:rPr>
                <w:rFonts w:ascii="Times New Roman" w:hAnsi="Times New Roman" w:cs="Times New Roman"/>
                <w:b/>
                <w:sz w:val="20"/>
                <w:szCs w:val="20"/>
                <w:lang w:val="en-US"/>
              </w:rPr>
              <w:t>Label</w:t>
            </w:r>
          </w:p>
        </w:tc>
        <w:tc>
          <w:tcPr>
            <w:tcW w:w="7827" w:type="dxa"/>
            <w:tcBorders>
              <w:bottom w:val="single" w:sz="4" w:space="0" w:color="auto"/>
            </w:tcBorders>
          </w:tcPr>
          <w:p w:rsidR="003E694C" w:rsidRPr="0051237C" w:rsidRDefault="003E694C" w:rsidP="001752C2">
            <w:pPr>
              <w:pStyle w:val="Default"/>
              <w:jc w:val="center"/>
              <w:rPr>
                <w:rFonts w:ascii="Times New Roman" w:hAnsi="Times New Roman" w:cs="Times New Roman"/>
                <w:b/>
                <w:sz w:val="20"/>
                <w:szCs w:val="20"/>
                <w:lang w:val="en-US"/>
              </w:rPr>
            </w:pPr>
            <w:r w:rsidRPr="0051237C">
              <w:rPr>
                <w:rFonts w:ascii="Times New Roman" w:hAnsi="Times New Roman" w:cs="Times New Roman"/>
                <w:b/>
                <w:sz w:val="20"/>
                <w:szCs w:val="20"/>
                <w:lang w:val="en-US"/>
              </w:rPr>
              <w:t>Variable</w:t>
            </w:r>
          </w:p>
        </w:tc>
      </w:tr>
      <w:tr w:rsidR="003E694C" w:rsidRPr="0051237C" w:rsidTr="001752C2">
        <w:tc>
          <w:tcPr>
            <w:tcW w:w="1242" w:type="dxa"/>
            <w:vMerge w:val="restart"/>
            <w:tcBorders>
              <w:top w:val="single" w:sz="4" w:space="0" w:color="auto"/>
              <w:left w:val="single" w:sz="4" w:space="0" w:color="auto"/>
              <w:right w:val="single" w:sz="4" w:space="0" w:color="auto"/>
            </w:tcBorders>
            <w:textDirection w:val="btLr"/>
            <w:vAlign w:val="center"/>
          </w:tcPr>
          <w:p w:rsidR="003E694C" w:rsidRPr="0051237C" w:rsidRDefault="003E694C" w:rsidP="001752C2">
            <w:pPr>
              <w:pStyle w:val="Default"/>
              <w:ind w:left="113" w:right="113"/>
              <w:jc w:val="center"/>
              <w:rPr>
                <w:rFonts w:ascii="Times New Roman" w:hAnsi="Times New Roman" w:cs="Times New Roman"/>
                <w:sz w:val="20"/>
                <w:szCs w:val="20"/>
                <w:lang w:val="en-US"/>
              </w:rPr>
            </w:pPr>
            <w:r w:rsidRPr="0051237C">
              <w:rPr>
                <w:rFonts w:ascii="Times New Roman" w:hAnsi="Times New Roman" w:cs="Times New Roman"/>
                <w:sz w:val="20"/>
                <w:szCs w:val="20"/>
                <w:lang w:val="en-US"/>
              </w:rPr>
              <w:t>Revenues</w:t>
            </w:r>
          </w:p>
        </w:tc>
        <w:tc>
          <w:tcPr>
            <w:tcW w:w="709" w:type="dxa"/>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i/>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1</w:t>
            </w:r>
          </w:p>
        </w:tc>
        <w:tc>
          <w:tcPr>
            <w:tcW w:w="7827" w:type="dxa"/>
            <w:tcBorders>
              <w:top w:val="single" w:sz="4" w:space="0" w:color="auto"/>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Income from sales and Services (Turnover)</w:t>
            </w:r>
          </w:p>
        </w:tc>
      </w:tr>
      <w:tr w:rsidR="003E694C" w:rsidRPr="0051237C" w:rsidTr="001752C2">
        <w:tc>
          <w:tcPr>
            <w:tcW w:w="1242" w:type="dxa"/>
            <w:vMerge/>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2</w:t>
            </w:r>
          </w:p>
        </w:tc>
        <w:tc>
          <w:tcPr>
            <w:tcW w:w="7827" w:type="dxa"/>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Changes in stocks of finished and semi-finished products</w:t>
            </w:r>
          </w:p>
        </w:tc>
      </w:tr>
      <w:tr w:rsidR="003E694C" w:rsidRPr="0051237C" w:rsidTr="001752C2">
        <w:tc>
          <w:tcPr>
            <w:tcW w:w="1242" w:type="dxa"/>
            <w:vMerge/>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3</w:t>
            </w:r>
          </w:p>
        </w:tc>
        <w:tc>
          <w:tcPr>
            <w:tcW w:w="7827" w:type="dxa"/>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Changes in contract work in progress</w:t>
            </w:r>
          </w:p>
        </w:tc>
      </w:tr>
      <w:tr w:rsidR="003E694C" w:rsidRPr="0051237C" w:rsidTr="001752C2">
        <w:tc>
          <w:tcPr>
            <w:tcW w:w="1242" w:type="dxa"/>
            <w:vMerge/>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4</w:t>
            </w:r>
          </w:p>
        </w:tc>
        <w:tc>
          <w:tcPr>
            <w:tcW w:w="7827" w:type="dxa"/>
            <w:tcBorders>
              <w:left w:val="single" w:sz="4" w:space="0" w:color="auto"/>
              <w:bottom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Changes in internal work capitalized under fixed assets</w:t>
            </w:r>
          </w:p>
        </w:tc>
      </w:tr>
      <w:tr w:rsidR="003E694C" w:rsidRPr="0051237C" w:rsidTr="001752C2">
        <w:tc>
          <w:tcPr>
            <w:tcW w:w="1242" w:type="dxa"/>
            <w:vMerge/>
            <w:tcBorders>
              <w:left w:val="single" w:sz="4" w:space="0" w:color="auto"/>
              <w:bottom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5</w:t>
            </w:r>
          </w:p>
        </w:tc>
        <w:tc>
          <w:tcPr>
            <w:tcW w:w="7827" w:type="dxa"/>
            <w:tcBorders>
              <w:top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Other income and earnings (neither financial, nor extraordinary)</w:t>
            </w:r>
          </w:p>
        </w:tc>
      </w:tr>
      <w:tr w:rsidR="003E694C" w:rsidRPr="0051237C" w:rsidTr="001752C2">
        <w:tc>
          <w:tcPr>
            <w:tcW w:w="1242" w:type="dxa"/>
            <w:tcBorders>
              <w:top w:val="single" w:sz="4" w:space="0" w:color="auto"/>
              <w:left w:val="single" w:sz="4" w:space="0" w:color="auto"/>
              <w:bottom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827" w:type="dxa"/>
          </w:tcPr>
          <w:p w:rsidR="003E694C" w:rsidRPr="0051237C" w:rsidRDefault="003E694C" w:rsidP="001752C2">
            <w:pPr>
              <w:pStyle w:val="Default"/>
              <w:jc w:val="both"/>
              <w:rPr>
                <w:rFonts w:ascii="Times New Roman" w:hAnsi="Times New Roman" w:cs="Times New Roman"/>
                <w:sz w:val="20"/>
                <w:szCs w:val="20"/>
                <w:lang w:val="en-US"/>
              </w:rPr>
            </w:pPr>
          </w:p>
        </w:tc>
      </w:tr>
      <w:tr w:rsidR="003E694C" w:rsidRPr="0051237C" w:rsidTr="001752C2">
        <w:tc>
          <w:tcPr>
            <w:tcW w:w="1242" w:type="dxa"/>
            <w:vMerge w:val="restart"/>
            <w:tcBorders>
              <w:top w:val="single" w:sz="4" w:space="0" w:color="auto"/>
              <w:left w:val="single" w:sz="4" w:space="0" w:color="auto"/>
              <w:right w:val="single" w:sz="4" w:space="0" w:color="auto"/>
            </w:tcBorders>
            <w:textDirection w:val="btLr"/>
            <w:vAlign w:val="center"/>
          </w:tcPr>
          <w:p w:rsidR="003E694C" w:rsidRPr="0051237C" w:rsidRDefault="003E694C" w:rsidP="001752C2">
            <w:pPr>
              <w:pStyle w:val="Default"/>
              <w:ind w:left="113" w:right="113"/>
              <w:jc w:val="center"/>
              <w:rPr>
                <w:rFonts w:ascii="Times New Roman" w:hAnsi="Times New Roman" w:cs="Times New Roman"/>
                <w:sz w:val="20"/>
                <w:szCs w:val="20"/>
                <w:lang w:val="en-US"/>
              </w:rPr>
            </w:pPr>
            <w:r w:rsidRPr="0051237C">
              <w:rPr>
                <w:rFonts w:ascii="Times New Roman" w:hAnsi="Times New Roman" w:cs="Times New Roman"/>
                <w:sz w:val="20"/>
                <w:szCs w:val="20"/>
                <w:lang w:val="en-US"/>
              </w:rPr>
              <w:t>Costs</w:t>
            </w: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6</w:t>
            </w:r>
          </w:p>
        </w:tc>
        <w:tc>
          <w:tcPr>
            <w:tcW w:w="7827" w:type="dxa"/>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Purchases of goods</w:t>
            </w:r>
          </w:p>
        </w:tc>
      </w:tr>
      <w:tr w:rsidR="003E694C" w:rsidRPr="0051237C" w:rsidTr="001752C2">
        <w:tc>
          <w:tcPr>
            <w:tcW w:w="1242" w:type="dxa"/>
            <w:vMerge/>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7</w:t>
            </w:r>
          </w:p>
        </w:tc>
        <w:tc>
          <w:tcPr>
            <w:tcW w:w="7827" w:type="dxa"/>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Purchases of services</w:t>
            </w:r>
          </w:p>
        </w:tc>
      </w:tr>
      <w:tr w:rsidR="003E694C" w:rsidRPr="0051237C" w:rsidTr="001752C2">
        <w:tc>
          <w:tcPr>
            <w:tcW w:w="1242" w:type="dxa"/>
            <w:vMerge/>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8</w:t>
            </w:r>
          </w:p>
        </w:tc>
        <w:tc>
          <w:tcPr>
            <w:tcW w:w="7827" w:type="dxa"/>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Use of third party assets</w:t>
            </w:r>
          </w:p>
        </w:tc>
      </w:tr>
      <w:tr w:rsidR="003E694C" w:rsidRPr="0051237C" w:rsidTr="001752C2">
        <w:tc>
          <w:tcPr>
            <w:tcW w:w="1242" w:type="dxa"/>
            <w:vMerge/>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9</w:t>
            </w:r>
          </w:p>
        </w:tc>
        <w:tc>
          <w:tcPr>
            <w:tcW w:w="7827" w:type="dxa"/>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Changes in stocks of raw materials and for resale</w:t>
            </w:r>
          </w:p>
        </w:tc>
      </w:tr>
      <w:tr w:rsidR="003E694C" w:rsidRPr="0051237C" w:rsidTr="001752C2">
        <w:tc>
          <w:tcPr>
            <w:tcW w:w="1242" w:type="dxa"/>
            <w:vMerge/>
            <w:tcBorders>
              <w:left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i/>
                <w:sz w:val="20"/>
                <w:szCs w:val="20"/>
                <w:lang w:val="en-US"/>
              </w:rPr>
              <w:t>Y</w:t>
            </w:r>
            <w:r w:rsidRPr="0051237C">
              <w:rPr>
                <w:rFonts w:ascii="Times New Roman" w:hAnsi="Times New Roman" w:cs="Times New Roman"/>
                <w:i/>
                <w:sz w:val="20"/>
                <w:szCs w:val="20"/>
                <w:vertAlign w:val="subscript"/>
                <w:lang w:val="en-US"/>
              </w:rPr>
              <w:t>10</w:t>
            </w:r>
          </w:p>
        </w:tc>
        <w:tc>
          <w:tcPr>
            <w:tcW w:w="7827" w:type="dxa"/>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Other operating charges</w:t>
            </w:r>
          </w:p>
        </w:tc>
      </w:tr>
      <w:tr w:rsidR="003E694C" w:rsidRPr="0051237C" w:rsidTr="001752C2">
        <w:tc>
          <w:tcPr>
            <w:tcW w:w="1242" w:type="dxa"/>
            <w:vMerge/>
            <w:tcBorders>
              <w:left w:val="single" w:sz="4" w:space="0" w:color="auto"/>
              <w:bottom w:val="single" w:sz="4" w:space="0" w:color="auto"/>
              <w:right w:val="single" w:sz="4" w:space="0" w:color="auto"/>
            </w:tcBorders>
          </w:tcPr>
          <w:p w:rsidR="003E694C" w:rsidRPr="0051237C" w:rsidRDefault="003E694C" w:rsidP="001752C2">
            <w:pPr>
              <w:pStyle w:val="Default"/>
              <w:jc w:val="both"/>
              <w:rPr>
                <w:rFonts w:ascii="Times New Roman" w:hAnsi="Times New Roman" w:cs="Times New Roman"/>
                <w:sz w:val="20"/>
                <w:szCs w:val="20"/>
                <w:lang w:val="en-US"/>
              </w:rPr>
            </w:pPr>
          </w:p>
        </w:tc>
        <w:tc>
          <w:tcPr>
            <w:tcW w:w="709" w:type="dxa"/>
            <w:tcBorders>
              <w:left w:val="single" w:sz="4" w:space="0" w:color="auto"/>
            </w:tcBorders>
          </w:tcPr>
          <w:p w:rsidR="003E694C" w:rsidRPr="0051237C" w:rsidRDefault="003E694C" w:rsidP="001752C2">
            <w:pPr>
              <w:pStyle w:val="Default"/>
              <w:jc w:val="both"/>
              <w:rPr>
                <w:rFonts w:ascii="Times New Roman" w:hAnsi="Times New Roman" w:cs="Times New Roman"/>
                <w:b/>
                <w:i/>
                <w:sz w:val="20"/>
                <w:szCs w:val="20"/>
                <w:lang w:val="en-US"/>
              </w:rPr>
            </w:pPr>
            <w:r w:rsidRPr="0051237C">
              <w:rPr>
                <w:rFonts w:ascii="Times New Roman" w:hAnsi="Times New Roman" w:cs="Times New Roman"/>
                <w:b/>
                <w:i/>
                <w:sz w:val="20"/>
                <w:szCs w:val="20"/>
                <w:lang w:val="en-US"/>
              </w:rPr>
              <w:t>PC</w:t>
            </w:r>
          </w:p>
        </w:tc>
        <w:tc>
          <w:tcPr>
            <w:tcW w:w="7827" w:type="dxa"/>
          </w:tcPr>
          <w:p w:rsidR="003E694C" w:rsidRPr="0051237C" w:rsidRDefault="003E694C" w:rsidP="001752C2">
            <w:pPr>
              <w:pStyle w:val="Default"/>
              <w:jc w:val="both"/>
              <w:rPr>
                <w:rFonts w:ascii="Times New Roman" w:hAnsi="Times New Roman" w:cs="Times New Roman"/>
                <w:sz w:val="20"/>
                <w:szCs w:val="20"/>
                <w:lang w:val="en-US"/>
              </w:rPr>
            </w:pPr>
            <w:r w:rsidRPr="0051237C">
              <w:rPr>
                <w:rFonts w:ascii="Times New Roman" w:hAnsi="Times New Roman" w:cs="Times New Roman"/>
                <w:sz w:val="20"/>
                <w:szCs w:val="20"/>
                <w:lang w:val="en-US"/>
              </w:rPr>
              <w:t>Personnel Costs</w:t>
            </w:r>
          </w:p>
        </w:tc>
      </w:tr>
    </w:tbl>
    <w:p w:rsidR="003E694C" w:rsidRPr="00F975DA" w:rsidRDefault="003E694C" w:rsidP="003E694C">
      <w:pPr>
        <w:pStyle w:val="Default"/>
        <w:jc w:val="both"/>
        <w:rPr>
          <w:sz w:val="22"/>
          <w:szCs w:val="22"/>
          <w:lang w:val="en-US"/>
        </w:rPr>
      </w:pPr>
    </w:p>
    <w:p w:rsidR="007A3FF4" w:rsidRPr="00F4427C" w:rsidRDefault="007A3FF4" w:rsidP="007A3FF4">
      <w:pPr>
        <w:pStyle w:val="Default"/>
        <w:spacing w:line="360" w:lineRule="auto"/>
        <w:jc w:val="both"/>
        <w:rPr>
          <w:rFonts w:ascii="Times New Roman" w:hAnsi="Times New Roman" w:cs="Times New Roman"/>
          <w:lang w:val="en-US"/>
        </w:rPr>
      </w:pPr>
      <w:r w:rsidRPr="00F4427C">
        <w:rPr>
          <w:rFonts w:ascii="Times New Roman" w:hAnsi="Times New Roman" w:cs="Times New Roman"/>
          <w:lang w:val="en-US"/>
        </w:rPr>
        <w:t>Specifically, for some sources  we have considered the values of the “derived variable” CS=</w:t>
      </w:r>
      <w:r w:rsidRPr="00F4427C">
        <w:rPr>
          <w:rFonts w:ascii="Times New Roman" w:hAnsi="Times New Roman" w:cs="Times New Roman"/>
          <w:i/>
          <w:lang w:val="en-US"/>
        </w:rPr>
        <w:t>Y</w:t>
      </w:r>
      <w:r w:rsidRPr="00F4427C">
        <w:rPr>
          <w:rFonts w:ascii="Times New Roman" w:hAnsi="Times New Roman" w:cs="Times New Roman"/>
          <w:i/>
          <w:vertAlign w:val="subscript"/>
          <w:lang w:val="en-US"/>
        </w:rPr>
        <w:t>2</w:t>
      </w:r>
      <w:r w:rsidRPr="00F4427C">
        <w:rPr>
          <w:rFonts w:ascii="Times New Roman" w:hAnsi="Times New Roman" w:cs="Times New Roman"/>
          <w:lang w:val="en-US"/>
        </w:rPr>
        <w:t>-</w:t>
      </w:r>
      <w:r w:rsidRPr="00F4427C">
        <w:rPr>
          <w:rFonts w:ascii="Times New Roman" w:hAnsi="Times New Roman" w:cs="Times New Roman"/>
          <w:i/>
          <w:lang w:val="en-US"/>
        </w:rPr>
        <w:t>Y</w:t>
      </w:r>
      <w:r w:rsidRPr="00F4427C">
        <w:rPr>
          <w:rFonts w:ascii="Times New Roman" w:hAnsi="Times New Roman" w:cs="Times New Roman"/>
          <w:i/>
          <w:vertAlign w:val="subscript"/>
          <w:lang w:val="en-US"/>
        </w:rPr>
        <w:t>9</w:t>
      </w:r>
      <w:r w:rsidRPr="00F4427C">
        <w:rPr>
          <w:rFonts w:ascii="Times New Roman" w:hAnsi="Times New Roman" w:cs="Times New Roman"/>
          <w:lang w:val="en-US"/>
        </w:rPr>
        <w:t xml:space="preserve"> (</w:t>
      </w:r>
      <w:r w:rsidRPr="00F4427C">
        <w:rPr>
          <w:rFonts w:ascii="Times New Roman" w:hAnsi="Times New Roman" w:cs="Times New Roman"/>
          <w:i/>
          <w:lang w:val="en-US"/>
        </w:rPr>
        <w:t>Total Change in Stocks</w:t>
      </w:r>
      <w:r w:rsidRPr="00F4427C">
        <w:rPr>
          <w:rFonts w:ascii="Times New Roman" w:hAnsi="Times New Roman" w:cs="Times New Roman"/>
          <w:lang w:val="en-US"/>
        </w:rPr>
        <w:t>), GS=</w:t>
      </w:r>
      <w:r w:rsidRPr="00F4427C">
        <w:rPr>
          <w:rFonts w:ascii="Times New Roman" w:hAnsi="Times New Roman" w:cs="Times New Roman"/>
          <w:i/>
          <w:lang w:val="en-US"/>
        </w:rPr>
        <w:t>Y</w:t>
      </w:r>
      <w:r w:rsidRPr="00F4427C">
        <w:rPr>
          <w:rFonts w:ascii="Times New Roman" w:hAnsi="Times New Roman" w:cs="Times New Roman"/>
          <w:i/>
          <w:vertAlign w:val="subscript"/>
          <w:lang w:val="en-US"/>
        </w:rPr>
        <w:t>6</w:t>
      </w:r>
      <w:r w:rsidRPr="00F4427C">
        <w:rPr>
          <w:rFonts w:ascii="Times New Roman" w:hAnsi="Times New Roman" w:cs="Times New Roman"/>
          <w:lang w:val="en-US"/>
        </w:rPr>
        <w:t>+</w:t>
      </w:r>
      <w:r w:rsidRPr="00F4427C">
        <w:rPr>
          <w:rFonts w:ascii="Times New Roman" w:hAnsi="Times New Roman" w:cs="Times New Roman"/>
          <w:i/>
          <w:lang w:val="en-US"/>
        </w:rPr>
        <w:t>Y</w:t>
      </w:r>
      <w:r w:rsidRPr="00F4427C">
        <w:rPr>
          <w:rFonts w:ascii="Times New Roman" w:hAnsi="Times New Roman" w:cs="Times New Roman"/>
          <w:i/>
          <w:vertAlign w:val="subscript"/>
          <w:lang w:val="en-US"/>
        </w:rPr>
        <w:t>7</w:t>
      </w:r>
      <w:r w:rsidRPr="00F4427C">
        <w:rPr>
          <w:rFonts w:ascii="Times New Roman" w:hAnsi="Times New Roman" w:cs="Times New Roman"/>
          <w:lang w:val="en-US"/>
        </w:rPr>
        <w:t xml:space="preserve"> (</w:t>
      </w:r>
      <w:r w:rsidRPr="00F4427C">
        <w:rPr>
          <w:rFonts w:ascii="Times New Roman" w:hAnsi="Times New Roman" w:cs="Times New Roman"/>
          <w:i/>
          <w:lang w:val="en-US"/>
        </w:rPr>
        <w:t>Purchases of Goods and Services</w:t>
      </w:r>
      <w:r w:rsidRPr="00F4427C">
        <w:rPr>
          <w:rFonts w:ascii="Times New Roman" w:hAnsi="Times New Roman" w:cs="Times New Roman"/>
          <w:lang w:val="en-US"/>
        </w:rPr>
        <w:t>) and IC=GS+</w:t>
      </w:r>
      <w:r w:rsidRPr="00F4427C">
        <w:rPr>
          <w:rFonts w:ascii="Times New Roman" w:hAnsi="Times New Roman" w:cs="Times New Roman"/>
          <w:i/>
          <w:lang w:val="en-US"/>
        </w:rPr>
        <w:t>Y</w:t>
      </w:r>
      <w:r w:rsidRPr="00F4427C">
        <w:rPr>
          <w:rFonts w:ascii="Times New Roman" w:hAnsi="Times New Roman" w:cs="Times New Roman"/>
          <w:i/>
          <w:vertAlign w:val="subscript"/>
          <w:lang w:val="en-US"/>
        </w:rPr>
        <w:t>8</w:t>
      </w:r>
      <w:r w:rsidRPr="00F4427C">
        <w:rPr>
          <w:rFonts w:ascii="Times New Roman" w:hAnsi="Times New Roman" w:cs="Times New Roman"/>
          <w:lang w:val="en-US"/>
        </w:rPr>
        <w:t>+</w:t>
      </w:r>
      <w:r w:rsidRPr="00F4427C">
        <w:rPr>
          <w:rFonts w:ascii="Times New Roman" w:hAnsi="Times New Roman" w:cs="Times New Roman"/>
          <w:i/>
          <w:lang w:val="en-US"/>
        </w:rPr>
        <w:t>Y</w:t>
      </w:r>
      <w:r w:rsidRPr="00F4427C">
        <w:rPr>
          <w:rFonts w:ascii="Times New Roman" w:hAnsi="Times New Roman" w:cs="Times New Roman"/>
          <w:i/>
          <w:vertAlign w:val="subscript"/>
          <w:lang w:val="en-US"/>
        </w:rPr>
        <w:t>10</w:t>
      </w:r>
      <w:r w:rsidRPr="00F4427C">
        <w:rPr>
          <w:rFonts w:ascii="Times New Roman" w:hAnsi="Times New Roman" w:cs="Times New Roman"/>
          <w:lang w:val="en-US"/>
        </w:rPr>
        <w:t xml:space="preserve"> (</w:t>
      </w:r>
      <w:r w:rsidRPr="00F4427C">
        <w:rPr>
          <w:rFonts w:ascii="Times New Roman" w:hAnsi="Times New Roman" w:cs="Times New Roman"/>
          <w:i/>
          <w:lang w:val="en-US"/>
        </w:rPr>
        <w:t xml:space="preserve">Total </w:t>
      </w:r>
      <w:r w:rsidRPr="00F4427C">
        <w:rPr>
          <w:rFonts w:ascii="Times New Roman" w:hAnsi="Times New Roman" w:cs="Times New Roman"/>
          <w:i/>
          <w:lang w:val="en-US"/>
        </w:rPr>
        <w:lastRenderedPageBreak/>
        <w:t>Intermediate Costs</w:t>
      </w:r>
      <w:r w:rsidRPr="00F4427C">
        <w:rPr>
          <w:rFonts w:ascii="Times New Roman" w:hAnsi="Times New Roman" w:cs="Times New Roman"/>
          <w:lang w:val="en-US"/>
        </w:rPr>
        <w:t xml:space="preserve">). The resulting informative framework is </w:t>
      </w:r>
      <w:r>
        <w:rPr>
          <w:rFonts w:ascii="Times New Roman" w:hAnsi="Times New Roman" w:cs="Times New Roman"/>
          <w:lang w:val="en-US"/>
        </w:rPr>
        <w:t>reported</w:t>
      </w:r>
      <w:r w:rsidRPr="00F4427C">
        <w:rPr>
          <w:rFonts w:ascii="Times New Roman" w:hAnsi="Times New Roman" w:cs="Times New Roman"/>
          <w:lang w:val="en-US"/>
        </w:rPr>
        <w:t xml:space="preserve"> in Table 4. For each source (row) and each variable (column),  observed and missing values are represented by the symbols “X” and “?” respectively. Note that for SS and </w:t>
      </w:r>
      <w:proofErr w:type="spellStart"/>
      <w:r w:rsidRPr="00F4427C">
        <w:rPr>
          <w:rFonts w:ascii="Times New Roman" w:hAnsi="Times New Roman" w:cs="Times New Roman"/>
          <w:lang w:val="en-US"/>
        </w:rPr>
        <w:t>Unico</w:t>
      </w:r>
      <w:proofErr w:type="spellEnd"/>
      <w:r w:rsidRPr="00F4427C">
        <w:rPr>
          <w:rFonts w:ascii="Times New Roman" w:hAnsi="Times New Roman" w:cs="Times New Roman"/>
          <w:lang w:val="en-US"/>
        </w:rPr>
        <w:t xml:space="preserve"> more than one raw is indicated, corresponding each to a d</w:t>
      </w:r>
      <w:r>
        <w:rPr>
          <w:rFonts w:ascii="Times New Roman" w:hAnsi="Times New Roman" w:cs="Times New Roman"/>
          <w:lang w:val="en-US"/>
        </w:rPr>
        <w:t>ifferent legal form</w:t>
      </w:r>
      <w:r w:rsidRPr="00F4427C">
        <w:rPr>
          <w:rFonts w:ascii="Times New Roman" w:hAnsi="Times New Roman" w:cs="Times New Roman"/>
          <w:lang w:val="en-US"/>
        </w:rPr>
        <w:t xml:space="preserve">. </w:t>
      </w:r>
      <w:r>
        <w:rPr>
          <w:rFonts w:ascii="Times New Roman" w:hAnsi="Times New Roman" w:cs="Times New Roman"/>
          <w:lang w:val="en-US"/>
        </w:rPr>
        <w:t>Th</w:t>
      </w:r>
      <w:r w:rsidR="0051237C">
        <w:rPr>
          <w:rFonts w:ascii="Times New Roman" w:hAnsi="Times New Roman" w:cs="Times New Roman"/>
          <w:lang w:val="en-US"/>
        </w:rPr>
        <w:t xml:space="preserve">e </w:t>
      </w:r>
      <w:r w:rsidRPr="00F4427C">
        <w:rPr>
          <w:rFonts w:ascii="Times New Roman" w:hAnsi="Times New Roman" w:cs="Times New Roman"/>
          <w:lang w:val="en-US"/>
        </w:rPr>
        <w:t xml:space="preserve">coverage </w:t>
      </w:r>
      <w:r>
        <w:rPr>
          <w:rFonts w:ascii="Times New Roman" w:hAnsi="Times New Roman" w:cs="Times New Roman"/>
          <w:lang w:val="en-US"/>
        </w:rPr>
        <w:t>of</w:t>
      </w:r>
      <w:r w:rsidRPr="00F4427C">
        <w:rPr>
          <w:rFonts w:ascii="Times New Roman" w:hAnsi="Times New Roman" w:cs="Times New Roman"/>
          <w:lang w:val="en-US"/>
        </w:rPr>
        <w:t xml:space="preserve"> each source is reported</w:t>
      </w:r>
      <w:r>
        <w:rPr>
          <w:rFonts w:ascii="Times New Roman" w:hAnsi="Times New Roman" w:cs="Times New Roman"/>
          <w:lang w:val="en-US"/>
        </w:rPr>
        <w:t xml:space="preserve"> in the last column</w:t>
      </w:r>
      <w:r w:rsidRPr="00F4427C">
        <w:rPr>
          <w:rFonts w:ascii="Times New Roman" w:hAnsi="Times New Roman" w:cs="Times New Roman"/>
          <w:lang w:val="en-US"/>
        </w:rPr>
        <w:t>.</w:t>
      </w:r>
    </w:p>
    <w:p w:rsidR="003E694C" w:rsidRPr="00F4427C" w:rsidRDefault="003E694C" w:rsidP="007A3FF4">
      <w:pPr>
        <w:pStyle w:val="Default"/>
        <w:spacing w:before="240" w:after="120"/>
        <w:jc w:val="both"/>
        <w:rPr>
          <w:rFonts w:ascii="Times New Roman" w:hAnsi="Times New Roman" w:cs="Times New Roman"/>
          <w:i/>
          <w:lang w:val="en-US"/>
        </w:rPr>
      </w:pPr>
      <w:r w:rsidRPr="00F4427C">
        <w:rPr>
          <w:rFonts w:ascii="Times New Roman" w:hAnsi="Times New Roman" w:cs="Times New Roman"/>
          <w:i/>
          <w:lang w:val="en-US"/>
        </w:rPr>
        <w:t xml:space="preserve">Table 4: Coverage of the main economic </w:t>
      </w:r>
      <w:r w:rsidR="00136642">
        <w:rPr>
          <w:rFonts w:ascii="Times New Roman" w:hAnsi="Times New Roman" w:cs="Times New Roman"/>
          <w:i/>
          <w:lang w:val="en-US"/>
        </w:rPr>
        <w:t>aggregates by administrative source</w:t>
      </w:r>
    </w:p>
    <w:tbl>
      <w:tblPr>
        <w:tblStyle w:val="Grigliatabella"/>
        <w:tblW w:w="0" w:type="auto"/>
        <w:tblLook w:val="04A0" w:firstRow="1" w:lastRow="0" w:firstColumn="1" w:lastColumn="0" w:noHBand="0" w:noVBand="1"/>
      </w:tblPr>
      <w:tblGrid>
        <w:gridCol w:w="844"/>
        <w:gridCol w:w="565"/>
        <w:gridCol w:w="566"/>
        <w:gridCol w:w="566"/>
        <w:gridCol w:w="566"/>
        <w:gridCol w:w="566"/>
        <w:gridCol w:w="566"/>
        <w:gridCol w:w="566"/>
        <w:gridCol w:w="566"/>
        <w:gridCol w:w="566"/>
        <w:gridCol w:w="585"/>
        <w:gridCol w:w="573"/>
        <w:gridCol w:w="575"/>
        <w:gridCol w:w="570"/>
        <w:gridCol w:w="560"/>
        <w:gridCol w:w="1054"/>
      </w:tblGrid>
      <w:tr w:rsidR="003E694C" w:rsidRPr="0051237C" w:rsidTr="001752C2">
        <w:tc>
          <w:tcPr>
            <w:tcW w:w="844" w:type="dxa"/>
          </w:tcPr>
          <w:p w:rsidR="003E694C" w:rsidRPr="0051237C" w:rsidRDefault="003E694C" w:rsidP="001752C2">
            <w:pPr>
              <w:pStyle w:val="Default"/>
              <w:jc w:val="both"/>
              <w:rPr>
                <w:rFonts w:asciiTheme="minorHAnsi" w:hAnsiTheme="minorHAnsi"/>
                <w:b/>
                <w:i/>
                <w:sz w:val="20"/>
                <w:szCs w:val="20"/>
                <w:lang w:val="en-US"/>
              </w:rPr>
            </w:pPr>
            <w:r w:rsidRPr="0051237C">
              <w:rPr>
                <w:rFonts w:asciiTheme="minorHAnsi" w:hAnsiTheme="minorHAnsi"/>
                <w:b/>
                <w:i/>
                <w:sz w:val="20"/>
                <w:szCs w:val="20"/>
                <w:lang w:val="en-US"/>
              </w:rPr>
              <w:t>Source</w:t>
            </w:r>
          </w:p>
        </w:tc>
        <w:tc>
          <w:tcPr>
            <w:tcW w:w="565"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1</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2</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3</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4</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5</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6</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7</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8</w:t>
            </w:r>
          </w:p>
        </w:tc>
        <w:tc>
          <w:tcPr>
            <w:tcW w:w="566"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9</w:t>
            </w:r>
          </w:p>
        </w:tc>
        <w:tc>
          <w:tcPr>
            <w:tcW w:w="585" w:type="dxa"/>
          </w:tcPr>
          <w:p w:rsidR="003E694C" w:rsidRPr="0051237C" w:rsidRDefault="003E694C" w:rsidP="001752C2">
            <w:pPr>
              <w:pStyle w:val="Default"/>
              <w:jc w:val="both"/>
              <w:rPr>
                <w:rFonts w:asciiTheme="minorHAnsi" w:hAnsiTheme="minorHAnsi"/>
                <w:b/>
                <w:sz w:val="20"/>
                <w:szCs w:val="20"/>
                <w:lang w:val="en-US"/>
              </w:rPr>
            </w:pPr>
            <w:r w:rsidRPr="0051237C">
              <w:rPr>
                <w:rFonts w:asciiTheme="minorHAnsi" w:hAnsiTheme="minorHAnsi" w:cstheme="minorHAnsi"/>
                <w:b/>
                <w:i/>
                <w:sz w:val="20"/>
                <w:szCs w:val="20"/>
                <w:lang w:val="en-US"/>
              </w:rPr>
              <w:t>Y</w:t>
            </w:r>
            <w:r w:rsidRPr="0051237C">
              <w:rPr>
                <w:rFonts w:asciiTheme="minorHAnsi" w:hAnsiTheme="minorHAnsi" w:cstheme="minorHAnsi"/>
                <w:b/>
                <w:i/>
                <w:sz w:val="20"/>
                <w:szCs w:val="20"/>
                <w:vertAlign w:val="subscript"/>
                <w:lang w:val="en-US"/>
              </w:rPr>
              <w:t>10</w:t>
            </w:r>
          </w:p>
        </w:tc>
        <w:tc>
          <w:tcPr>
            <w:tcW w:w="573" w:type="dxa"/>
          </w:tcPr>
          <w:p w:rsidR="003E694C" w:rsidRPr="0051237C" w:rsidRDefault="003E694C" w:rsidP="001752C2">
            <w:pPr>
              <w:pStyle w:val="Default"/>
              <w:jc w:val="both"/>
              <w:rPr>
                <w:rFonts w:asciiTheme="minorHAnsi" w:hAnsiTheme="minorHAnsi"/>
                <w:b/>
                <w:i/>
                <w:sz w:val="20"/>
                <w:szCs w:val="20"/>
                <w:lang w:val="en-US"/>
              </w:rPr>
            </w:pPr>
            <w:r w:rsidRPr="0051237C">
              <w:rPr>
                <w:rFonts w:asciiTheme="minorHAnsi" w:hAnsiTheme="minorHAnsi"/>
                <w:b/>
                <w:i/>
                <w:sz w:val="20"/>
                <w:szCs w:val="20"/>
                <w:lang w:val="en-US"/>
              </w:rPr>
              <w:t>PC</w:t>
            </w:r>
          </w:p>
        </w:tc>
        <w:tc>
          <w:tcPr>
            <w:tcW w:w="575" w:type="dxa"/>
          </w:tcPr>
          <w:p w:rsidR="003E694C" w:rsidRPr="0051237C" w:rsidRDefault="003E694C" w:rsidP="001752C2">
            <w:pPr>
              <w:pStyle w:val="Default"/>
              <w:jc w:val="both"/>
              <w:rPr>
                <w:rFonts w:asciiTheme="minorHAnsi" w:hAnsiTheme="minorHAnsi"/>
                <w:b/>
                <w:i/>
                <w:sz w:val="20"/>
                <w:szCs w:val="20"/>
                <w:lang w:val="en-US"/>
              </w:rPr>
            </w:pPr>
            <w:r w:rsidRPr="0051237C">
              <w:rPr>
                <w:rFonts w:asciiTheme="minorHAnsi" w:hAnsiTheme="minorHAnsi"/>
                <w:b/>
                <w:i/>
                <w:sz w:val="20"/>
                <w:szCs w:val="20"/>
                <w:lang w:val="en-US"/>
              </w:rPr>
              <w:t>GS</w:t>
            </w:r>
          </w:p>
        </w:tc>
        <w:tc>
          <w:tcPr>
            <w:tcW w:w="570" w:type="dxa"/>
          </w:tcPr>
          <w:p w:rsidR="003E694C" w:rsidRPr="0051237C" w:rsidRDefault="003E694C" w:rsidP="001752C2">
            <w:pPr>
              <w:pStyle w:val="Default"/>
              <w:jc w:val="both"/>
              <w:rPr>
                <w:rFonts w:asciiTheme="minorHAnsi" w:hAnsiTheme="minorHAnsi"/>
                <w:b/>
                <w:i/>
                <w:sz w:val="20"/>
                <w:szCs w:val="20"/>
                <w:lang w:val="en-US"/>
              </w:rPr>
            </w:pPr>
            <w:r w:rsidRPr="0051237C">
              <w:rPr>
                <w:rFonts w:asciiTheme="minorHAnsi" w:hAnsiTheme="minorHAnsi"/>
                <w:b/>
                <w:i/>
                <w:sz w:val="20"/>
                <w:szCs w:val="20"/>
                <w:lang w:val="en-US"/>
              </w:rPr>
              <w:t>CS</w:t>
            </w:r>
          </w:p>
        </w:tc>
        <w:tc>
          <w:tcPr>
            <w:tcW w:w="560" w:type="dxa"/>
          </w:tcPr>
          <w:p w:rsidR="003E694C" w:rsidRPr="0051237C" w:rsidRDefault="003E694C" w:rsidP="001752C2">
            <w:pPr>
              <w:pStyle w:val="Default"/>
              <w:jc w:val="both"/>
              <w:rPr>
                <w:rFonts w:asciiTheme="minorHAnsi" w:hAnsiTheme="minorHAnsi"/>
                <w:b/>
                <w:i/>
                <w:sz w:val="20"/>
                <w:szCs w:val="20"/>
                <w:lang w:val="en-US"/>
              </w:rPr>
            </w:pPr>
            <w:r w:rsidRPr="0051237C">
              <w:rPr>
                <w:rFonts w:asciiTheme="minorHAnsi" w:hAnsiTheme="minorHAnsi"/>
                <w:b/>
                <w:i/>
                <w:sz w:val="20"/>
                <w:szCs w:val="20"/>
                <w:lang w:val="en-US"/>
              </w:rPr>
              <w:t>IC</w:t>
            </w:r>
          </w:p>
        </w:tc>
        <w:tc>
          <w:tcPr>
            <w:tcW w:w="1054" w:type="dxa"/>
          </w:tcPr>
          <w:p w:rsidR="003E694C" w:rsidRPr="0051237C" w:rsidRDefault="003E694C" w:rsidP="0051237C">
            <w:pPr>
              <w:pStyle w:val="Default"/>
              <w:jc w:val="both"/>
              <w:rPr>
                <w:rFonts w:asciiTheme="minorHAnsi" w:hAnsiTheme="minorHAnsi"/>
                <w:b/>
                <w:i/>
                <w:sz w:val="20"/>
                <w:szCs w:val="20"/>
                <w:lang w:val="en-US"/>
              </w:rPr>
            </w:pPr>
            <w:r w:rsidRPr="0051237C">
              <w:rPr>
                <w:rFonts w:asciiTheme="minorHAnsi" w:hAnsiTheme="minorHAnsi"/>
                <w:b/>
                <w:i/>
                <w:sz w:val="20"/>
                <w:szCs w:val="20"/>
                <w:lang w:val="en-US"/>
              </w:rPr>
              <w:t>Coverage (%)</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FS</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16.13</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SDS-F</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51.08</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SDS-G</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13.00</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Unico1</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0.78</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Unico2</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0.04</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Unico3</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2.73</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Unico4</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0.76</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Unico5</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10.86</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Unico6</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0.16</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Unico7</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0.31</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Unico8</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0.49</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Unico9</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0.09</w:t>
            </w:r>
          </w:p>
        </w:tc>
      </w:tr>
      <w:tr w:rsidR="003E694C" w:rsidRPr="0035304E" w:rsidTr="001752C2">
        <w:tc>
          <w:tcPr>
            <w:tcW w:w="844" w:type="dxa"/>
          </w:tcPr>
          <w:p w:rsidR="003E694C" w:rsidRPr="0035304E" w:rsidRDefault="003E694C" w:rsidP="001752C2">
            <w:pPr>
              <w:pStyle w:val="Default"/>
              <w:jc w:val="both"/>
              <w:rPr>
                <w:rFonts w:asciiTheme="minorHAnsi" w:hAnsiTheme="minorHAnsi"/>
                <w:i/>
                <w:sz w:val="20"/>
                <w:szCs w:val="20"/>
                <w:lang w:val="en-US"/>
              </w:rPr>
            </w:pPr>
            <w:r w:rsidRPr="0035304E">
              <w:rPr>
                <w:rFonts w:asciiTheme="minorHAnsi" w:hAnsiTheme="minorHAnsi"/>
                <w:i/>
                <w:sz w:val="20"/>
                <w:szCs w:val="20"/>
                <w:lang w:val="en-US"/>
              </w:rPr>
              <w:t>NA</w:t>
            </w:r>
          </w:p>
        </w:tc>
        <w:tc>
          <w:tcPr>
            <w:tcW w:w="56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6"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8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3"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X</w:t>
            </w:r>
          </w:p>
        </w:tc>
        <w:tc>
          <w:tcPr>
            <w:tcW w:w="575"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7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560"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w:t>
            </w:r>
          </w:p>
        </w:tc>
        <w:tc>
          <w:tcPr>
            <w:tcW w:w="1054" w:type="dxa"/>
          </w:tcPr>
          <w:p w:rsidR="003E694C" w:rsidRPr="0035304E" w:rsidRDefault="003E694C" w:rsidP="001752C2">
            <w:pPr>
              <w:pStyle w:val="Default"/>
              <w:jc w:val="both"/>
              <w:rPr>
                <w:rFonts w:asciiTheme="minorHAnsi" w:hAnsiTheme="minorHAnsi"/>
                <w:sz w:val="20"/>
                <w:szCs w:val="20"/>
                <w:lang w:val="en-US"/>
              </w:rPr>
            </w:pPr>
            <w:r w:rsidRPr="0035304E">
              <w:rPr>
                <w:rFonts w:asciiTheme="minorHAnsi" w:hAnsiTheme="minorHAnsi"/>
                <w:sz w:val="20"/>
                <w:szCs w:val="20"/>
                <w:lang w:val="en-US"/>
              </w:rPr>
              <w:t>3.67</w:t>
            </w:r>
          </w:p>
        </w:tc>
      </w:tr>
    </w:tbl>
    <w:p w:rsidR="003E694C" w:rsidRDefault="003E694C" w:rsidP="003E694C">
      <w:pPr>
        <w:pStyle w:val="Default"/>
        <w:jc w:val="both"/>
        <w:rPr>
          <w:sz w:val="22"/>
          <w:szCs w:val="22"/>
          <w:lang w:val="en-US"/>
        </w:rPr>
      </w:pPr>
    </w:p>
    <w:p w:rsidR="003E694C" w:rsidRPr="00D8280B" w:rsidRDefault="003E694C" w:rsidP="00D8280B">
      <w:pPr>
        <w:pStyle w:val="Default"/>
        <w:spacing w:line="360" w:lineRule="auto"/>
        <w:jc w:val="both"/>
        <w:rPr>
          <w:rFonts w:ascii="Times New Roman" w:hAnsi="Times New Roman" w:cs="Times New Roman"/>
          <w:lang w:val="en-US"/>
        </w:rPr>
      </w:pPr>
      <w:r w:rsidRPr="00D8280B">
        <w:rPr>
          <w:rFonts w:ascii="Times New Roman" w:hAnsi="Times New Roman" w:cs="Times New Roman"/>
          <w:lang w:val="en-US"/>
        </w:rPr>
        <w:t>We also note that the values of all the target variables are available for the respondents of the SME sample. Starting from the situation represented in Table 4, the missing values have been imputed in order to obtain a complete data set corresponding to the whole SME population. The imputation process results from a combination of different techniques that have been applied to separate groups of variables. Basically, the whole procedure can be thought of as composed of 4 sequential steps</w:t>
      </w:r>
      <w:r w:rsidR="00136891">
        <w:rPr>
          <w:rFonts w:ascii="Times New Roman" w:hAnsi="Times New Roman" w:cs="Times New Roman"/>
          <w:lang w:val="en-US"/>
        </w:rPr>
        <w:t xml:space="preserve"> (see [3] for more details)</w:t>
      </w:r>
      <w:r w:rsidRPr="00D8280B">
        <w:rPr>
          <w:rFonts w:ascii="Times New Roman" w:hAnsi="Times New Roman" w:cs="Times New Roman"/>
          <w:lang w:val="en-US"/>
        </w:rPr>
        <w:t>:</w:t>
      </w:r>
    </w:p>
    <w:p w:rsidR="003E694C" w:rsidRPr="00D8280B" w:rsidRDefault="003E694C" w:rsidP="009911C5">
      <w:pPr>
        <w:pStyle w:val="Default"/>
        <w:numPr>
          <w:ilvl w:val="0"/>
          <w:numId w:val="23"/>
        </w:numPr>
        <w:spacing w:line="360" w:lineRule="auto"/>
        <w:ind w:left="426"/>
        <w:jc w:val="both"/>
        <w:rPr>
          <w:rFonts w:ascii="Times New Roman" w:hAnsi="Times New Roman" w:cs="Times New Roman"/>
          <w:lang w:val="en-US"/>
        </w:rPr>
      </w:pPr>
      <w:r w:rsidRPr="00D8280B">
        <w:rPr>
          <w:rFonts w:ascii="Times New Roman" w:hAnsi="Times New Roman" w:cs="Times New Roman"/>
          <w:lang w:val="en-US"/>
        </w:rPr>
        <w:t>deterministic imputation based on the guidelines of subject matter experts;</w:t>
      </w:r>
    </w:p>
    <w:p w:rsidR="003E694C" w:rsidRPr="00D8280B" w:rsidRDefault="003E694C" w:rsidP="009911C5">
      <w:pPr>
        <w:pStyle w:val="Default"/>
        <w:numPr>
          <w:ilvl w:val="0"/>
          <w:numId w:val="23"/>
        </w:numPr>
        <w:spacing w:line="360" w:lineRule="auto"/>
        <w:ind w:left="426"/>
        <w:jc w:val="both"/>
        <w:rPr>
          <w:rFonts w:ascii="Times New Roman" w:hAnsi="Times New Roman" w:cs="Times New Roman"/>
          <w:lang w:val="en-US"/>
        </w:rPr>
      </w:pPr>
      <w:r w:rsidRPr="00D8280B">
        <w:rPr>
          <w:rFonts w:ascii="Times New Roman" w:hAnsi="Times New Roman" w:cs="Times New Roman"/>
          <w:lang w:val="en-US"/>
        </w:rPr>
        <w:t xml:space="preserve">imputation of variables </w:t>
      </w:r>
      <w:r w:rsidRPr="00D8280B">
        <w:rPr>
          <w:rFonts w:ascii="Times New Roman" w:hAnsi="Times New Roman" w:cs="Times New Roman"/>
          <w:i/>
          <w:lang w:val="en-US"/>
        </w:rPr>
        <w:t>Y</w:t>
      </w:r>
      <w:r w:rsidRPr="00D8280B">
        <w:rPr>
          <w:rFonts w:ascii="Times New Roman" w:hAnsi="Times New Roman" w:cs="Times New Roman"/>
          <w:i/>
          <w:vertAlign w:val="subscript"/>
          <w:lang w:val="en-US"/>
        </w:rPr>
        <w:t>1</w:t>
      </w:r>
      <w:r w:rsidRPr="00D8280B">
        <w:rPr>
          <w:rFonts w:ascii="Times New Roman" w:hAnsi="Times New Roman" w:cs="Times New Roman"/>
          <w:lang w:val="en-US"/>
        </w:rPr>
        <w:t>,</w:t>
      </w:r>
      <w:r w:rsidRPr="00D8280B">
        <w:rPr>
          <w:rFonts w:ascii="Times New Roman" w:hAnsi="Times New Roman" w:cs="Times New Roman"/>
          <w:i/>
          <w:lang w:val="en-US"/>
        </w:rPr>
        <w:t xml:space="preserve"> Y</w:t>
      </w:r>
      <w:r w:rsidRPr="00D8280B">
        <w:rPr>
          <w:rFonts w:ascii="Times New Roman" w:hAnsi="Times New Roman" w:cs="Times New Roman"/>
          <w:i/>
          <w:vertAlign w:val="subscript"/>
          <w:lang w:val="en-US"/>
        </w:rPr>
        <w:t>6</w:t>
      </w:r>
      <w:r w:rsidRPr="00D8280B">
        <w:rPr>
          <w:rFonts w:ascii="Times New Roman" w:hAnsi="Times New Roman" w:cs="Times New Roman"/>
          <w:i/>
          <w:lang w:val="en-US"/>
        </w:rPr>
        <w:t xml:space="preserve"> Y</w:t>
      </w:r>
      <w:r w:rsidRPr="00D8280B">
        <w:rPr>
          <w:rFonts w:ascii="Times New Roman" w:hAnsi="Times New Roman" w:cs="Times New Roman"/>
          <w:i/>
          <w:vertAlign w:val="subscript"/>
          <w:lang w:val="en-US"/>
        </w:rPr>
        <w:t>7</w:t>
      </w:r>
      <w:r w:rsidRPr="00D8280B">
        <w:rPr>
          <w:rFonts w:ascii="Times New Roman" w:hAnsi="Times New Roman" w:cs="Times New Roman"/>
          <w:lang w:val="en-US"/>
        </w:rPr>
        <w:t>, and CS  through Predictive Mean Matching (PMM);</w:t>
      </w:r>
    </w:p>
    <w:p w:rsidR="003E694C" w:rsidRPr="00D8280B" w:rsidRDefault="003E694C" w:rsidP="009911C5">
      <w:pPr>
        <w:pStyle w:val="Default"/>
        <w:numPr>
          <w:ilvl w:val="0"/>
          <w:numId w:val="23"/>
        </w:numPr>
        <w:spacing w:line="360" w:lineRule="auto"/>
        <w:ind w:left="426"/>
        <w:jc w:val="both"/>
        <w:rPr>
          <w:rFonts w:ascii="Times New Roman" w:hAnsi="Times New Roman" w:cs="Times New Roman"/>
          <w:lang w:val="en-US"/>
        </w:rPr>
      </w:pPr>
      <w:r w:rsidRPr="00D8280B">
        <w:rPr>
          <w:rFonts w:ascii="Times New Roman" w:hAnsi="Times New Roman" w:cs="Times New Roman"/>
          <w:lang w:val="en-US"/>
        </w:rPr>
        <w:t xml:space="preserve">imputation of variables </w:t>
      </w:r>
      <w:r w:rsidRPr="00D8280B">
        <w:rPr>
          <w:rFonts w:ascii="Times New Roman" w:hAnsi="Times New Roman" w:cs="Times New Roman"/>
          <w:i/>
          <w:lang w:val="en-US"/>
        </w:rPr>
        <w:t>Y</w:t>
      </w:r>
      <w:r w:rsidRPr="00D8280B">
        <w:rPr>
          <w:rFonts w:ascii="Times New Roman" w:hAnsi="Times New Roman" w:cs="Times New Roman"/>
          <w:i/>
          <w:vertAlign w:val="subscript"/>
          <w:lang w:val="en-US"/>
        </w:rPr>
        <w:t>3</w:t>
      </w:r>
      <w:r w:rsidRPr="00D8280B">
        <w:rPr>
          <w:rFonts w:ascii="Times New Roman" w:hAnsi="Times New Roman" w:cs="Times New Roman"/>
          <w:lang w:val="en-US"/>
        </w:rPr>
        <w:t>,</w:t>
      </w:r>
      <w:r w:rsidRPr="00D8280B">
        <w:rPr>
          <w:rFonts w:ascii="Times New Roman" w:hAnsi="Times New Roman" w:cs="Times New Roman"/>
          <w:i/>
          <w:lang w:val="en-US"/>
        </w:rPr>
        <w:t xml:space="preserve"> Y</w:t>
      </w:r>
      <w:r w:rsidRPr="00D8280B">
        <w:rPr>
          <w:rFonts w:ascii="Times New Roman" w:hAnsi="Times New Roman" w:cs="Times New Roman"/>
          <w:i/>
          <w:vertAlign w:val="subscript"/>
          <w:lang w:val="en-US"/>
        </w:rPr>
        <w:t>4</w:t>
      </w:r>
      <w:r w:rsidRPr="00D8280B">
        <w:rPr>
          <w:rFonts w:ascii="Times New Roman" w:hAnsi="Times New Roman" w:cs="Times New Roman"/>
          <w:i/>
          <w:lang w:val="en-US"/>
        </w:rPr>
        <w:t xml:space="preserve"> Y</w:t>
      </w:r>
      <w:r w:rsidRPr="00D8280B">
        <w:rPr>
          <w:rFonts w:ascii="Times New Roman" w:hAnsi="Times New Roman" w:cs="Times New Roman"/>
          <w:i/>
          <w:vertAlign w:val="subscript"/>
          <w:lang w:val="en-US"/>
        </w:rPr>
        <w:t>8</w:t>
      </w:r>
      <w:r w:rsidRPr="00D8280B">
        <w:rPr>
          <w:rFonts w:ascii="Times New Roman" w:hAnsi="Times New Roman" w:cs="Times New Roman"/>
          <w:lang w:val="en-US"/>
        </w:rPr>
        <w:t>,</w:t>
      </w:r>
      <w:r w:rsidRPr="00D8280B">
        <w:rPr>
          <w:rFonts w:ascii="Times New Roman" w:hAnsi="Times New Roman" w:cs="Times New Roman"/>
          <w:i/>
          <w:lang w:val="en-US"/>
        </w:rPr>
        <w:t xml:space="preserve"> Y</w:t>
      </w:r>
      <w:r w:rsidRPr="00D8280B">
        <w:rPr>
          <w:rFonts w:ascii="Times New Roman" w:hAnsi="Times New Roman" w:cs="Times New Roman"/>
          <w:i/>
          <w:vertAlign w:val="subscript"/>
          <w:lang w:val="en-US"/>
        </w:rPr>
        <w:t>10</w:t>
      </w:r>
      <w:r w:rsidRPr="00D8280B">
        <w:rPr>
          <w:rFonts w:ascii="Times New Roman" w:hAnsi="Times New Roman" w:cs="Times New Roman"/>
          <w:lang w:val="en-US"/>
        </w:rPr>
        <w:t xml:space="preserve">, and </w:t>
      </w:r>
      <w:r w:rsidRPr="00D8280B">
        <w:rPr>
          <w:rFonts w:ascii="Times New Roman" w:hAnsi="Times New Roman" w:cs="Times New Roman"/>
          <w:i/>
          <w:lang w:val="en-US"/>
        </w:rPr>
        <w:t>Y</w:t>
      </w:r>
      <w:r w:rsidRPr="00D8280B">
        <w:rPr>
          <w:rFonts w:ascii="Times New Roman" w:hAnsi="Times New Roman" w:cs="Times New Roman"/>
          <w:i/>
          <w:vertAlign w:val="subscript"/>
          <w:lang w:val="en-US"/>
        </w:rPr>
        <w:t>5</w:t>
      </w:r>
      <w:r w:rsidRPr="00D8280B">
        <w:rPr>
          <w:rFonts w:ascii="Times New Roman" w:hAnsi="Times New Roman" w:cs="Times New Roman"/>
          <w:lang w:val="en-US"/>
        </w:rPr>
        <w:t>,  through Nearest Neighbor Donor (NND);</w:t>
      </w:r>
    </w:p>
    <w:p w:rsidR="003E694C" w:rsidRPr="00D8280B" w:rsidRDefault="003E694C" w:rsidP="009911C5">
      <w:pPr>
        <w:pStyle w:val="Default"/>
        <w:numPr>
          <w:ilvl w:val="0"/>
          <w:numId w:val="23"/>
        </w:numPr>
        <w:spacing w:line="360" w:lineRule="auto"/>
        <w:ind w:left="426"/>
        <w:jc w:val="both"/>
        <w:rPr>
          <w:rFonts w:ascii="Times New Roman" w:hAnsi="Times New Roman" w:cs="Times New Roman"/>
          <w:lang w:val="en-US"/>
        </w:rPr>
      </w:pPr>
      <w:r w:rsidRPr="00D8280B">
        <w:rPr>
          <w:rFonts w:ascii="Times New Roman" w:hAnsi="Times New Roman" w:cs="Times New Roman"/>
          <w:lang w:val="en-US"/>
        </w:rPr>
        <w:t xml:space="preserve">imputation of variables </w:t>
      </w:r>
      <w:r w:rsidRPr="00D8280B">
        <w:rPr>
          <w:rFonts w:ascii="Times New Roman" w:hAnsi="Times New Roman" w:cs="Times New Roman"/>
          <w:i/>
          <w:lang w:val="en-US"/>
        </w:rPr>
        <w:t>Y</w:t>
      </w:r>
      <w:r w:rsidRPr="00D8280B">
        <w:rPr>
          <w:rFonts w:ascii="Times New Roman" w:hAnsi="Times New Roman" w:cs="Times New Roman"/>
          <w:i/>
          <w:vertAlign w:val="subscript"/>
          <w:lang w:val="en-US"/>
        </w:rPr>
        <w:t xml:space="preserve">9 </w:t>
      </w:r>
      <w:r w:rsidR="009911C5">
        <w:rPr>
          <w:rFonts w:ascii="Times New Roman" w:hAnsi="Times New Roman" w:cs="Times New Roman"/>
          <w:i/>
          <w:vertAlign w:val="subscript"/>
          <w:lang w:val="en-US"/>
        </w:rPr>
        <w:t>,</w:t>
      </w:r>
      <w:r w:rsidRPr="00D8280B">
        <w:rPr>
          <w:rFonts w:ascii="Times New Roman" w:hAnsi="Times New Roman" w:cs="Times New Roman"/>
          <w:i/>
          <w:lang w:val="en-US"/>
        </w:rPr>
        <w:t xml:space="preserve"> Y</w:t>
      </w:r>
      <w:r w:rsidRPr="00D8280B">
        <w:rPr>
          <w:rFonts w:ascii="Times New Roman" w:hAnsi="Times New Roman" w:cs="Times New Roman"/>
          <w:i/>
          <w:vertAlign w:val="subscript"/>
          <w:lang w:val="en-US"/>
        </w:rPr>
        <w:t>2</w:t>
      </w:r>
      <w:r w:rsidRPr="00D8280B">
        <w:rPr>
          <w:rFonts w:ascii="Times New Roman" w:hAnsi="Times New Roman" w:cs="Times New Roman"/>
          <w:i/>
          <w:lang w:val="en-US"/>
        </w:rPr>
        <w:t xml:space="preserve"> </w:t>
      </w:r>
      <w:r w:rsidRPr="00D8280B">
        <w:rPr>
          <w:rFonts w:ascii="Times New Roman" w:hAnsi="Times New Roman" w:cs="Times New Roman"/>
          <w:lang w:val="en-US"/>
        </w:rPr>
        <w:t>via a two-step procedure based on logistic and linear regression.</w:t>
      </w:r>
    </w:p>
    <w:p w:rsidR="003E694C" w:rsidRPr="00D8280B" w:rsidRDefault="003E694C" w:rsidP="00D8280B">
      <w:pPr>
        <w:pStyle w:val="Default"/>
        <w:spacing w:before="120" w:line="360" w:lineRule="auto"/>
        <w:jc w:val="both"/>
        <w:rPr>
          <w:rFonts w:ascii="Times New Roman" w:hAnsi="Times New Roman" w:cs="Times New Roman"/>
          <w:lang w:val="en-US"/>
        </w:rPr>
      </w:pPr>
      <w:r w:rsidRPr="00D8280B">
        <w:rPr>
          <w:rFonts w:ascii="Times New Roman" w:hAnsi="Times New Roman" w:cs="Times New Roman"/>
          <w:lang w:val="en-US"/>
        </w:rPr>
        <w:t>The deterministic step is essentially limited to obvious imputations such as setting to zero some items for some specific categories of enterprises. As far as the genuine “statistical phase” is concerned,  the differences in the distributional characteristics of the target variables imply  the need of using different methodologies to manage missing values. Specifically, PMM has been used for variables not aff</w:t>
      </w:r>
      <w:r w:rsidR="00B259CF">
        <w:rPr>
          <w:rFonts w:ascii="Times New Roman" w:hAnsi="Times New Roman" w:cs="Times New Roman"/>
          <w:lang w:val="en-US"/>
        </w:rPr>
        <w:t>ected by “zero inflation”, i.e.</w:t>
      </w:r>
      <w:r w:rsidRPr="00D8280B">
        <w:rPr>
          <w:rFonts w:ascii="Times New Roman" w:hAnsi="Times New Roman" w:cs="Times New Roman"/>
          <w:lang w:val="en-US"/>
        </w:rPr>
        <w:t xml:space="preserve"> variables that can be (at least approximately) considered as genuinely continuous. For these variables, we used a multivariate version of PMM composed of the following steps: </w:t>
      </w:r>
    </w:p>
    <w:p w:rsidR="003E694C" w:rsidRPr="00D8280B" w:rsidRDefault="003E694C" w:rsidP="00DA7F55">
      <w:pPr>
        <w:pStyle w:val="Default"/>
        <w:numPr>
          <w:ilvl w:val="0"/>
          <w:numId w:val="24"/>
        </w:numPr>
        <w:spacing w:line="360" w:lineRule="auto"/>
        <w:ind w:left="425" w:hanging="357"/>
        <w:jc w:val="both"/>
        <w:rPr>
          <w:rFonts w:ascii="Times New Roman" w:hAnsi="Times New Roman" w:cs="Times New Roman"/>
          <w:lang w:val="en-US"/>
        </w:rPr>
      </w:pPr>
      <w:r w:rsidRPr="00D8280B">
        <w:rPr>
          <w:rFonts w:ascii="Times New Roman" w:hAnsi="Times New Roman" w:cs="Times New Roman"/>
          <w:lang w:val="en-US"/>
        </w:rPr>
        <w:t xml:space="preserve">estimating via </w:t>
      </w:r>
      <w:r w:rsidR="00B259CF">
        <w:rPr>
          <w:rFonts w:ascii="Times New Roman" w:hAnsi="Times New Roman" w:cs="Times New Roman"/>
          <w:lang w:val="en-US"/>
        </w:rPr>
        <w:t xml:space="preserve">the </w:t>
      </w:r>
      <w:r w:rsidRPr="00D8280B">
        <w:rPr>
          <w:rFonts w:ascii="Times New Roman" w:hAnsi="Times New Roman" w:cs="Times New Roman"/>
          <w:lang w:val="en-US"/>
        </w:rPr>
        <w:t xml:space="preserve">Expectation Maximization algorithm the parameters of a multivariate normal model; </w:t>
      </w:r>
    </w:p>
    <w:p w:rsidR="003E694C" w:rsidRPr="00D8280B" w:rsidRDefault="003E694C" w:rsidP="00DA7F55">
      <w:pPr>
        <w:pStyle w:val="Default"/>
        <w:numPr>
          <w:ilvl w:val="0"/>
          <w:numId w:val="24"/>
        </w:numPr>
        <w:spacing w:line="360" w:lineRule="auto"/>
        <w:ind w:left="425" w:hanging="357"/>
        <w:jc w:val="both"/>
        <w:rPr>
          <w:rFonts w:ascii="Times New Roman" w:hAnsi="Times New Roman" w:cs="Times New Roman"/>
          <w:lang w:val="en-US"/>
        </w:rPr>
      </w:pPr>
      <w:r w:rsidRPr="00D8280B">
        <w:rPr>
          <w:rFonts w:ascii="Times New Roman" w:hAnsi="Times New Roman" w:cs="Times New Roman"/>
          <w:lang w:val="en-US"/>
        </w:rPr>
        <w:lastRenderedPageBreak/>
        <w:t>computing predictive means corresponding to missing items based on estimates obtained in a);</w:t>
      </w:r>
    </w:p>
    <w:p w:rsidR="003E694C" w:rsidRPr="00D8280B" w:rsidRDefault="003E694C" w:rsidP="008D71FF">
      <w:pPr>
        <w:pStyle w:val="Default"/>
        <w:numPr>
          <w:ilvl w:val="0"/>
          <w:numId w:val="24"/>
        </w:numPr>
        <w:spacing w:after="120" w:line="360" w:lineRule="auto"/>
        <w:ind w:left="425" w:hanging="357"/>
        <w:jc w:val="both"/>
        <w:rPr>
          <w:rFonts w:ascii="Times New Roman" w:hAnsi="Times New Roman" w:cs="Times New Roman"/>
          <w:lang w:val="en-US"/>
        </w:rPr>
      </w:pPr>
      <w:r w:rsidRPr="00D8280B">
        <w:rPr>
          <w:rFonts w:ascii="Times New Roman" w:hAnsi="Times New Roman" w:cs="Times New Roman"/>
          <w:lang w:val="en-US"/>
        </w:rPr>
        <w:t>imputing missing values via NND using the predictive means as matching variables.</w:t>
      </w:r>
    </w:p>
    <w:p w:rsidR="003E694C" w:rsidRPr="00D8280B" w:rsidRDefault="003E694C" w:rsidP="008D71FF">
      <w:pPr>
        <w:pStyle w:val="Default"/>
        <w:spacing w:line="360" w:lineRule="auto"/>
        <w:jc w:val="both"/>
        <w:rPr>
          <w:rFonts w:ascii="Times New Roman" w:hAnsi="Times New Roman" w:cs="Times New Roman"/>
          <w:lang w:val="en-US"/>
        </w:rPr>
      </w:pPr>
      <w:r w:rsidRPr="00D8280B">
        <w:rPr>
          <w:rFonts w:ascii="Times New Roman" w:hAnsi="Times New Roman" w:cs="Times New Roman"/>
          <w:lang w:val="en-US"/>
        </w:rPr>
        <w:t xml:space="preserve">For the variables characterized by a “semi-continuous” distribution (i.e., affected by zero inflation), NND imputation based on ordinary Euclidean distance seems to be more appropriate. More precisely, for each incomplete record (recipient)  whit positive value of </w:t>
      </w:r>
      <w:r w:rsidRPr="00D8280B">
        <w:rPr>
          <w:rFonts w:ascii="Times New Roman" w:hAnsi="Times New Roman" w:cs="Times New Roman"/>
          <w:i/>
          <w:lang w:val="en-US"/>
        </w:rPr>
        <w:t>Y</w:t>
      </w:r>
      <w:r w:rsidRPr="00D8280B">
        <w:rPr>
          <w:rFonts w:ascii="Times New Roman" w:hAnsi="Times New Roman" w:cs="Times New Roman"/>
          <w:i/>
          <w:vertAlign w:val="subscript"/>
          <w:lang w:val="en-US"/>
        </w:rPr>
        <w:t>1</w:t>
      </w:r>
      <w:r w:rsidRPr="00D8280B">
        <w:rPr>
          <w:rFonts w:ascii="Times New Roman" w:hAnsi="Times New Roman" w:cs="Times New Roman"/>
          <w:i/>
          <w:lang w:val="en-US"/>
        </w:rPr>
        <w:t xml:space="preserve"> </w:t>
      </w:r>
      <w:r w:rsidRPr="00D8280B">
        <w:rPr>
          <w:rFonts w:ascii="Times New Roman" w:hAnsi="Times New Roman" w:cs="Times New Roman"/>
          <w:lang w:val="en-US"/>
        </w:rPr>
        <w:t xml:space="preserve">(Turnover),  ratios between the variables in step 3) and </w:t>
      </w:r>
      <w:r w:rsidRPr="00D8280B">
        <w:rPr>
          <w:rFonts w:ascii="Times New Roman" w:hAnsi="Times New Roman" w:cs="Times New Roman"/>
          <w:i/>
          <w:lang w:val="en-US"/>
        </w:rPr>
        <w:t>Y</w:t>
      </w:r>
      <w:r w:rsidRPr="00D8280B">
        <w:rPr>
          <w:rFonts w:ascii="Times New Roman" w:hAnsi="Times New Roman" w:cs="Times New Roman"/>
          <w:i/>
          <w:vertAlign w:val="subscript"/>
          <w:lang w:val="en-US"/>
        </w:rPr>
        <w:t xml:space="preserve">1 </w:t>
      </w:r>
      <w:r w:rsidRPr="00D8280B">
        <w:rPr>
          <w:rFonts w:ascii="Times New Roman" w:hAnsi="Times New Roman" w:cs="Times New Roman"/>
          <w:lang w:val="en-US"/>
        </w:rPr>
        <w:t xml:space="preserve">have been imputed from the closest donor, and the values of missing variables have been obtained as product of the imputed ratios by the value of </w:t>
      </w:r>
      <w:r w:rsidRPr="00D8280B">
        <w:rPr>
          <w:rFonts w:ascii="Times New Roman" w:hAnsi="Times New Roman" w:cs="Times New Roman"/>
          <w:i/>
          <w:lang w:val="en-US"/>
        </w:rPr>
        <w:t>Y</w:t>
      </w:r>
      <w:r w:rsidRPr="00D8280B">
        <w:rPr>
          <w:rFonts w:ascii="Times New Roman" w:hAnsi="Times New Roman" w:cs="Times New Roman"/>
          <w:i/>
          <w:vertAlign w:val="subscript"/>
          <w:lang w:val="en-US"/>
        </w:rPr>
        <w:t xml:space="preserve">1 </w:t>
      </w:r>
      <w:r w:rsidRPr="00D8280B">
        <w:rPr>
          <w:rFonts w:ascii="Times New Roman" w:hAnsi="Times New Roman" w:cs="Times New Roman"/>
          <w:lang w:val="en-US"/>
        </w:rPr>
        <w:t xml:space="preserve"> in the recipient. For zero-turnover units, standard NND has been used. Finally, a fully parametric approach has been used for Y2 and Y9 (the two components of changes in stocks). Specifically, a logistic regression has been used to decide if the values of the two variables are zero or not, and in cases where nonzero values were to be imputed, an ordinary linear regression was used.</w:t>
      </w:r>
    </w:p>
    <w:p w:rsidR="003E694C" w:rsidRPr="00D8280B" w:rsidRDefault="003E694C" w:rsidP="008D71FF">
      <w:pPr>
        <w:pStyle w:val="Default"/>
        <w:spacing w:line="360" w:lineRule="auto"/>
        <w:jc w:val="both"/>
        <w:rPr>
          <w:rFonts w:ascii="Times New Roman" w:hAnsi="Times New Roman" w:cs="Times New Roman"/>
          <w:lang w:val="en-US"/>
        </w:rPr>
      </w:pPr>
      <w:r w:rsidRPr="00D8280B">
        <w:rPr>
          <w:rFonts w:ascii="Times New Roman" w:hAnsi="Times New Roman" w:cs="Times New Roman"/>
          <w:lang w:val="en-US"/>
        </w:rPr>
        <w:t>It is worthwhile noting t</w:t>
      </w:r>
      <w:r w:rsidR="007718B9">
        <w:rPr>
          <w:rFonts w:ascii="Times New Roman" w:hAnsi="Times New Roman" w:cs="Times New Roman"/>
          <w:lang w:val="en-US"/>
        </w:rPr>
        <w:t xml:space="preserve">hat the imputation steps 1)-3) </w:t>
      </w:r>
      <w:r w:rsidRPr="00D8280B">
        <w:rPr>
          <w:rFonts w:ascii="Times New Roman" w:hAnsi="Times New Roman" w:cs="Times New Roman"/>
          <w:lang w:val="en-US"/>
        </w:rPr>
        <w:t xml:space="preserve">have been performed within suitably chosen imputation strata mainly based on </w:t>
      </w:r>
      <w:r w:rsidRPr="00D8280B">
        <w:rPr>
          <w:rFonts w:ascii="Times New Roman" w:hAnsi="Times New Roman" w:cs="Times New Roman"/>
          <w:i/>
          <w:lang w:val="en-US"/>
        </w:rPr>
        <w:t>sector of economic activity</w:t>
      </w:r>
      <w:r w:rsidRPr="00D8280B">
        <w:rPr>
          <w:rFonts w:ascii="Times New Roman" w:hAnsi="Times New Roman" w:cs="Times New Roman"/>
          <w:lang w:val="en-US"/>
        </w:rPr>
        <w:t xml:space="preserve">. </w:t>
      </w:r>
    </w:p>
    <w:p w:rsidR="003E694C" w:rsidRPr="00D8280B" w:rsidRDefault="003E694C" w:rsidP="008D71FF">
      <w:pPr>
        <w:pStyle w:val="Default"/>
        <w:spacing w:line="360" w:lineRule="auto"/>
        <w:jc w:val="both"/>
        <w:rPr>
          <w:rFonts w:ascii="Times New Roman" w:hAnsi="Times New Roman" w:cs="Times New Roman"/>
          <w:lang w:val="en-US"/>
        </w:rPr>
      </w:pPr>
      <w:r w:rsidRPr="00D8280B">
        <w:rPr>
          <w:rFonts w:ascii="Times New Roman" w:hAnsi="Times New Roman" w:cs="Times New Roman"/>
          <w:lang w:val="en-US"/>
        </w:rPr>
        <w:t xml:space="preserve">Due to the complexity of the imputation process, the evaluation of the whole procedure is a difficult task. However, we tried to assess the impact of the new estimation strategy, by comparing the estimates obtained from AD with the traditional ones based on </w:t>
      </w:r>
      <w:r w:rsidR="007718B9">
        <w:rPr>
          <w:rFonts w:ascii="Times New Roman" w:hAnsi="Times New Roman" w:cs="Times New Roman"/>
          <w:lang w:val="en-US"/>
        </w:rPr>
        <w:t xml:space="preserve">the </w:t>
      </w:r>
      <w:r w:rsidRPr="00D8280B">
        <w:rPr>
          <w:rFonts w:ascii="Times New Roman" w:hAnsi="Times New Roman" w:cs="Times New Roman"/>
          <w:lang w:val="en-US"/>
        </w:rPr>
        <w:t xml:space="preserve">sample survey. In detail, for a given variable </w:t>
      </w:r>
      <w:r w:rsidRPr="00D8280B">
        <w:rPr>
          <w:rFonts w:ascii="Times New Roman" w:hAnsi="Times New Roman" w:cs="Times New Roman"/>
          <w:i/>
          <w:lang w:val="en-US"/>
        </w:rPr>
        <w:t>Y</w:t>
      </w:r>
      <w:r w:rsidRPr="00D8280B">
        <w:rPr>
          <w:rFonts w:ascii="Times New Roman" w:hAnsi="Times New Roman" w:cs="Times New Roman"/>
          <w:lang w:val="en-US"/>
        </w:rPr>
        <w:t xml:space="preserve">, with corresponding population total </w:t>
      </w:r>
      <w:r w:rsidRPr="00D8280B">
        <w:rPr>
          <w:rFonts w:ascii="Times New Roman" w:hAnsi="Times New Roman" w:cs="Times New Roman"/>
          <w:i/>
          <w:lang w:val="en-US"/>
        </w:rPr>
        <w:t>T</w:t>
      </w:r>
      <w:r w:rsidRPr="00D8280B">
        <w:rPr>
          <w:rFonts w:ascii="Times New Roman" w:hAnsi="Times New Roman" w:cs="Times New Roman"/>
          <w:i/>
          <w:vertAlign w:val="subscript"/>
          <w:lang w:val="en-US"/>
        </w:rPr>
        <w:t>y</w:t>
      </w:r>
      <w:r w:rsidRPr="00D8280B">
        <w:rPr>
          <w:rFonts w:ascii="Times New Roman" w:hAnsi="Times New Roman" w:cs="Times New Roman"/>
          <w:lang w:val="en-US"/>
        </w:rPr>
        <w:t>, we have computed the relative difference</w:t>
      </w:r>
      <w:r w:rsidR="00322BBF" w:rsidRPr="00D8280B">
        <w:rPr>
          <w:rFonts w:ascii="Times New Roman" w:hAnsi="Times New Roman" w:cs="Times New Roman"/>
          <w:lang w:val="en-US"/>
        </w:rPr>
        <w:t xml:space="preserve"> </w:t>
      </w:r>
      <w:r w:rsidR="00487849" w:rsidRPr="00D8280B">
        <w:rPr>
          <w:rFonts w:ascii="Times New Roman" w:hAnsi="Times New Roman" w:cs="Times New Roman"/>
          <w:position w:val="-30"/>
          <w:lang w:val="en-US"/>
        </w:rPr>
        <w:object w:dxaOrig="15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35.05pt" o:ole="">
            <v:imagedata r:id="rId10" o:title=""/>
          </v:shape>
          <o:OLEObject Type="Embed" ProgID="Equation.3" ShapeID="_x0000_i1025" DrawAspect="Content" ObjectID="_1462287625" r:id="rId11"/>
        </w:object>
      </w:r>
      <w:r w:rsidRPr="00D8280B">
        <w:rPr>
          <w:rFonts w:ascii="Times New Roman" w:hAnsi="Times New Roman" w:cs="Times New Roman"/>
          <w:lang w:val="en-US"/>
        </w:rPr>
        <w:t>,</w:t>
      </w:r>
      <w:r w:rsidR="00322BBF" w:rsidRPr="00D8280B">
        <w:rPr>
          <w:rFonts w:ascii="Times New Roman" w:hAnsi="Times New Roman" w:cs="Times New Roman"/>
          <w:lang w:val="en-US"/>
        </w:rPr>
        <w:t xml:space="preserve"> </w:t>
      </w:r>
      <w:r w:rsidRPr="00D8280B">
        <w:rPr>
          <w:rFonts w:ascii="Times New Roman" w:hAnsi="Times New Roman" w:cs="Times New Roman"/>
          <w:lang w:val="en-US"/>
        </w:rPr>
        <w:t xml:space="preserve">where </w:t>
      </w:r>
      <w:r w:rsidRPr="00D8280B">
        <w:rPr>
          <w:rFonts w:ascii="Times New Roman" w:hAnsi="Times New Roman" w:cs="Times New Roman"/>
          <w:position w:val="-14"/>
          <w:lang w:val="en-US"/>
        </w:rPr>
        <w:object w:dxaOrig="300" w:dyaOrig="420">
          <v:shape id="_x0000_i1026" type="#_x0000_t75" style="width:15.05pt;height:21.3pt" o:ole="">
            <v:imagedata r:id="rId12" o:title=""/>
          </v:shape>
          <o:OLEObject Type="Embed" ProgID="Equation.3" ShapeID="_x0000_i1026" DrawAspect="Content" ObjectID="_1462287626" r:id="rId13"/>
        </w:object>
      </w:r>
      <w:r w:rsidRPr="00D8280B">
        <w:rPr>
          <w:rFonts w:ascii="Times New Roman" w:hAnsi="Times New Roman" w:cs="Times New Roman"/>
          <w:lang w:val="en-US"/>
        </w:rPr>
        <w:t xml:space="preserve">is the estimate of </w:t>
      </w:r>
      <w:r w:rsidRPr="00D8280B">
        <w:rPr>
          <w:rFonts w:ascii="Times New Roman" w:hAnsi="Times New Roman" w:cs="Times New Roman"/>
          <w:i/>
          <w:lang w:val="en-US"/>
        </w:rPr>
        <w:t>T</w:t>
      </w:r>
      <w:r w:rsidRPr="00D8280B">
        <w:rPr>
          <w:rFonts w:ascii="Times New Roman" w:hAnsi="Times New Roman" w:cs="Times New Roman"/>
          <w:i/>
          <w:vertAlign w:val="subscript"/>
          <w:lang w:val="en-US"/>
        </w:rPr>
        <w:t>y</w:t>
      </w:r>
      <w:r w:rsidRPr="00D8280B">
        <w:rPr>
          <w:rFonts w:ascii="Times New Roman" w:hAnsi="Times New Roman" w:cs="Times New Roman"/>
          <w:lang w:val="en-US"/>
        </w:rPr>
        <w:t xml:space="preserve">  obtained with the sample data through the calibration estimator currently used for the SME survey and </w:t>
      </w:r>
      <w:r w:rsidRPr="00D8280B">
        <w:rPr>
          <w:rFonts w:ascii="Times New Roman" w:hAnsi="Times New Roman" w:cs="Times New Roman"/>
          <w:position w:val="-14"/>
          <w:lang w:val="en-US"/>
        </w:rPr>
        <w:object w:dxaOrig="400" w:dyaOrig="420">
          <v:shape id="_x0000_i1027" type="#_x0000_t75" style="width:20.05pt;height:21.3pt" o:ole="">
            <v:imagedata r:id="rId14" o:title=""/>
          </v:shape>
          <o:OLEObject Type="Embed" ProgID="Equation.3" ShapeID="_x0000_i1027" DrawAspect="Content" ObjectID="_1462287627" r:id="rId15"/>
        </w:object>
      </w:r>
      <w:r w:rsidRPr="00D8280B">
        <w:rPr>
          <w:rFonts w:ascii="Times New Roman" w:hAnsi="Times New Roman" w:cs="Times New Roman"/>
          <w:lang w:val="en-US"/>
        </w:rPr>
        <w:t xml:space="preserve"> is the estimate computed on the entire archive by summing up all the values. We also tried to decompose the difference above into a “sampling component” and a “measurement component”, by considering also the additional estimate </w:t>
      </w:r>
      <w:r w:rsidRPr="00D8280B">
        <w:rPr>
          <w:rFonts w:ascii="Times New Roman" w:hAnsi="Times New Roman" w:cs="Times New Roman"/>
          <w:position w:val="-14"/>
          <w:lang w:val="en-US"/>
        </w:rPr>
        <w:object w:dxaOrig="499" w:dyaOrig="420">
          <v:shape id="_x0000_i1028" type="#_x0000_t75" style="width:25.05pt;height:21.3pt" o:ole="">
            <v:imagedata r:id="rId16" o:title=""/>
          </v:shape>
          <o:OLEObject Type="Embed" ProgID="Equation.3" ShapeID="_x0000_i1028" DrawAspect="Content" ObjectID="_1462287628" r:id="rId17"/>
        </w:object>
      </w:r>
      <w:r w:rsidRPr="00D8280B">
        <w:rPr>
          <w:rFonts w:ascii="Times New Roman" w:hAnsi="Times New Roman" w:cs="Times New Roman"/>
          <w:lang w:val="en-US"/>
        </w:rPr>
        <w:t xml:space="preserve"> obtained by using the SME estimator on the sample units, but replacing the survey data with the corresponding data in the frame. We obtain an approximate measure of the SME sampling error and of the measurement effect respectively, through the following two indicators:</w:t>
      </w:r>
    </w:p>
    <w:p w:rsidR="003E694C" w:rsidRDefault="00487849" w:rsidP="00D8280B">
      <w:pPr>
        <w:pStyle w:val="Default"/>
        <w:spacing w:before="120" w:after="120"/>
        <w:jc w:val="center"/>
        <w:rPr>
          <w:sz w:val="22"/>
          <w:szCs w:val="22"/>
          <w:lang w:val="en-US"/>
        </w:rPr>
      </w:pPr>
      <w:r w:rsidRPr="00487849">
        <w:rPr>
          <w:position w:val="-30"/>
          <w:sz w:val="22"/>
          <w:szCs w:val="22"/>
          <w:lang w:val="en-US"/>
        </w:rPr>
        <w:object w:dxaOrig="1680" w:dyaOrig="700">
          <v:shape id="_x0000_i1029" type="#_x0000_t75" style="width:83.25pt;height:35.05pt" o:ole="">
            <v:imagedata r:id="rId18" o:title=""/>
          </v:shape>
          <o:OLEObject Type="Embed" ProgID="Equation.3" ShapeID="_x0000_i1029" DrawAspect="Content" ObjectID="_1462287629" r:id="rId19"/>
        </w:object>
      </w:r>
      <w:r w:rsidR="003E694C">
        <w:rPr>
          <w:sz w:val="22"/>
          <w:szCs w:val="22"/>
          <w:lang w:val="en-US"/>
        </w:rPr>
        <w:t xml:space="preserve">,           </w:t>
      </w:r>
      <w:r w:rsidRPr="00487849">
        <w:rPr>
          <w:position w:val="-30"/>
          <w:sz w:val="22"/>
          <w:szCs w:val="22"/>
          <w:lang w:val="en-US"/>
        </w:rPr>
        <w:object w:dxaOrig="1740" w:dyaOrig="700">
          <v:shape id="_x0000_i1030" type="#_x0000_t75" style="width:87.05pt;height:35.05pt" o:ole="">
            <v:imagedata r:id="rId20" o:title=""/>
          </v:shape>
          <o:OLEObject Type="Embed" ProgID="Equation.3" ShapeID="_x0000_i1030" DrawAspect="Content" ObjectID="_1462287630" r:id="rId21"/>
        </w:object>
      </w:r>
      <w:r w:rsidR="003E694C">
        <w:rPr>
          <w:sz w:val="22"/>
          <w:szCs w:val="22"/>
          <w:lang w:val="en-US"/>
        </w:rPr>
        <w:t>.</w:t>
      </w:r>
    </w:p>
    <w:p w:rsidR="003E694C" w:rsidRPr="00D8280B" w:rsidRDefault="003E694C" w:rsidP="008608CD">
      <w:pPr>
        <w:pStyle w:val="Default"/>
        <w:spacing w:line="360" w:lineRule="auto"/>
        <w:jc w:val="both"/>
        <w:rPr>
          <w:rFonts w:ascii="Times New Roman" w:hAnsi="Times New Roman" w:cs="Times New Roman"/>
          <w:lang w:val="en-US"/>
        </w:rPr>
      </w:pPr>
      <w:r w:rsidRPr="00D8280B">
        <w:rPr>
          <w:rFonts w:ascii="Times New Roman" w:hAnsi="Times New Roman" w:cs="Times New Roman"/>
          <w:lang w:val="en-US"/>
        </w:rPr>
        <w:t xml:space="preserve">Thus, the equality </w:t>
      </w:r>
      <w:r w:rsidR="00487849" w:rsidRPr="00D8280B">
        <w:rPr>
          <w:rFonts w:ascii="Times New Roman" w:hAnsi="Times New Roman" w:cs="Times New Roman"/>
          <w:position w:val="-12"/>
          <w:lang w:val="en-US"/>
        </w:rPr>
        <w:object w:dxaOrig="1120" w:dyaOrig="360">
          <v:shape id="_x0000_i1031" type="#_x0000_t75" style="width:55.7pt;height:18.15pt" o:ole="">
            <v:imagedata r:id="rId22" o:title=""/>
          </v:shape>
          <o:OLEObject Type="Embed" ProgID="Equation.3" ShapeID="_x0000_i1031" DrawAspect="Content" ObjectID="_1462287631" r:id="rId23"/>
        </w:object>
      </w:r>
      <w:r w:rsidRPr="00D8280B">
        <w:rPr>
          <w:rFonts w:ascii="Times New Roman" w:hAnsi="Times New Roman" w:cs="Times New Roman"/>
          <w:lang w:val="en-US"/>
        </w:rPr>
        <w:t xml:space="preserve"> provides the desired decomposition. In Table 5, the above indicators are reported for variables </w:t>
      </w:r>
      <w:r w:rsidR="00AD2F91" w:rsidRPr="00D8280B">
        <w:rPr>
          <w:rFonts w:ascii="Times New Roman" w:hAnsi="Times New Roman" w:cs="Times New Roman"/>
          <w:i/>
          <w:lang w:val="en-US"/>
        </w:rPr>
        <w:t>T</w:t>
      </w:r>
      <w:r w:rsidRPr="00D8280B">
        <w:rPr>
          <w:rFonts w:ascii="Times New Roman" w:hAnsi="Times New Roman" w:cs="Times New Roman"/>
          <w:i/>
          <w:lang w:val="en-US"/>
        </w:rPr>
        <w:t xml:space="preserve"> </w:t>
      </w:r>
      <w:r w:rsidRPr="00D8280B">
        <w:rPr>
          <w:rFonts w:ascii="Times New Roman" w:hAnsi="Times New Roman" w:cs="Times New Roman"/>
          <w:lang w:val="en-US"/>
        </w:rPr>
        <w:t>(</w:t>
      </w:r>
      <w:r w:rsidRPr="00D8280B">
        <w:rPr>
          <w:rFonts w:ascii="Times New Roman" w:hAnsi="Times New Roman" w:cs="Times New Roman"/>
          <w:i/>
          <w:lang w:val="en-US"/>
        </w:rPr>
        <w:t>Turnover</w:t>
      </w:r>
      <w:r w:rsidRPr="00D8280B">
        <w:rPr>
          <w:rFonts w:ascii="Times New Roman" w:hAnsi="Times New Roman" w:cs="Times New Roman"/>
          <w:lang w:val="en-US"/>
        </w:rPr>
        <w:t xml:space="preserve">), </w:t>
      </w:r>
      <w:r w:rsidRPr="00D8280B">
        <w:rPr>
          <w:rFonts w:ascii="Times New Roman" w:hAnsi="Times New Roman" w:cs="Times New Roman"/>
          <w:i/>
          <w:lang w:val="en-US"/>
        </w:rPr>
        <w:t>IC</w:t>
      </w:r>
      <w:r w:rsidRPr="00D8280B">
        <w:rPr>
          <w:rFonts w:ascii="Times New Roman" w:hAnsi="Times New Roman" w:cs="Times New Roman"/>
          <w:lang w:val="en-US"/>
        </w:rPr>
        <w:t xml:space="preserve"> (</w:t>
      </w:r>
      <w:r w:rsidRPr="00D8280B">
        <w:rPr>
          <w:rFonts w:ascii="Times New Roman" w:hAnsi="Times New Roman" w:cs="Times New Roman"/>
          <w:i/>
          <w:lang w:val="en-US"/>
        </w:rPr>
        <w:t>Intermediate Costs</w:t>
      </w:r>
      <w:r w:rsidRPr="00D8280B">
        <w:rPr>
          <w:rFonts w:ascii="Times New Roman" w:hAnsi="Times New Roman" w:cs="Times New Roman"/>
          <w:lang w:val="en-US"/>
        </w:rPr>
        <w:t xml:space="preserve">), and the variable </w:t>
      </w:r>
      <w:r w:rsidRPr="00D8280B">
        <w:rPr>
          <w:rFonts w:ascii="Times New Roman" w:hAnsi="Times New Roman" w:cs="Times New Roman"/>
          <w:i/>
          <w:lang w:val="en-US"/>
        </w:rPr>
        <w:t>Value Added</w:t>
      </w:r>
      <w:r w:rsidRPr="00D8280B">
        <w:rPr>
          <w:rFonts w:ascii="Times New Roman" w:hAnsi="Times New Roman" w:cs="Times New Roman"/>
          <w:lang w:val="en-US"/>
        </w:rPr>
        <w:t xml:space="preserve"> (VA) defined as: </w:t>
      </w:r>
      <w:r w:rsidR="00487849" w:rsidRPr="00D8280B">
        <w:rPr>
          <w:rFonts w:ascii="Times New Roman" w:hAnsi="Times New Roman" w:cs="Times New Roman"/>
          <w:position w:val="-28"/>
          <w:lang w:val="en-US"/>
        </w:rPr>
        <w:object w:dxaOrig="1680" w:dyaOrig="680">
          <v:shape id="_x0000_i1032" type="#_x0000_t75" style="width:83.9pt;height:33.8pt" o:ole="">
            <v:imagedata r:id="rId24" o:title=""/>
          </v:shape>
          <o:OLEObject Type="Embed" ProgID="Equation.3" ShapeID="_x0000_i1032" DrawAspect="Content" ObjectID="_1462287632" r:id="rId25"/>
        </w:object>
      </w:r>
      <w:r w:rsidR="007718B9">
        <w:rPr>
          <w:rFonts w:ascii="Times New Roman" w:hAnsi="Times New Roman" w:cs="Times New Roman"/>
          <w:lang w:val="en-US"/>
        </w:rPr>
        <w:t>, together with</w:t>
      </w:r>
      <w:r w:rsidRPr="00D8280B">
        <w:rPr>
          <w:rFonts w:ascii="Times New Roman" w:hAnsi="Times New Roman" w:cs="Times New Roman"/>
          <w:lang w:val="en-US"/>
        </w:rPr>
        <w:t xml:space="preserve"> the population size (N) and the SME sample size (</w:t>
      </w:r>
      <w:r w:rsidRPr="000E652B">
        <w:rPr>
          <w:rFonts w:ascii="Times New Roman" w:hAnsi="Times New Roman" w:cs="Times New Roman"/>
          <w:i/>
          <w:lang w:val="en-US"/>
        </w:rPr>
        <w:t>n</w:t>
      </w:r>
      <w:r w:rsidR="007718B9">
        <w:rPr>
          <w:rFonts w:ascii="Times New Roman" w:hAnsi="Times New Roman" w:cs="Times New Roman"/>
          <w:lang w:val="en-US"/>
        </w:rPr>
        <w:t>)</w:t>
      </w:r>
      <w:r w:rsidRPr="00D8280B">
        <w:rPr>
          <w:rFonts w:ascii="Times New Roman" w:hAnsi="Times New Roman" w:cs="Times New Roman"/>
          <w:lang w:val="en-US"/>
        </w:rPr>
        <w:t>.</w:t>
      </w:r>
      <w:r w:rsidR="008608CD">
        <w:rPr>
          <w:rFonts w:ascii="Times New Roman" w:hAnsi="Times New Roman" w:cs="Times New Roman"/>
          <w:lang w:val="en-US"/>
        </w:rPr>
        <w:t xml:space="preserve"> </w:t>
      </w:r>
      <w:r w:rsidR="008608CD" w:rsidRPr="002505E2">
        <w:rPr>
          <w:rFonts w:ascii="Times New Roman" w:hAnsi="Times New Roman" w:cs="Times New Roman"/>
          <w:lang w:val="en-US"/>
        </w:rPr>
        <w:t>As it</w:t>
      </w:r>
      <w:r w:rsidR="008608CD">
        <w:rPr>
          <w:rFonts w:ascii="Times New Roman" w:hAnsi="Times New Roman" w:cs="Times New Roman"/>
          <w:lang w:val="en-US"/>
        </w:rPr>
        <w:t xml:space="preserve"> can</w:t>
      </w:r>
      <w:r w:rsidR="008608CD" w:rsidRPr="002505E2">
        <w:rPr>
          <w:rFonts w:ascii="Times New Roman" w:hAnsi="Times New Roman" w:cs="Times New Roman"/>
          <w:lang w:val="en-US"/>
        </w:rPr>
        <w:t xml:space="preserve"> be seen, actually the total difference between </w:t>
      </w:r>
      <w:r w:rsidR="008608CD">
        <w:rPr>
          <w:rFonts w:ascii="Times New Roman" w:hAnsi="Times New Roman" w:cs="Times New Roman"/>
          <w:lang w:val="en-US"/>
        </w:rPr>
        <w:t>the survey</w:t>
      </w:r>
      <w:r w:rsidR="008608CD" w:rsidRPr="002505E2">
        <w:rPr>
          <w:rFonts w:ascii="Times New Roman" w:hAnsi="Times New Roman" w:cs="Times New Roman"/>
          <w:lang w:val="en-US"/>
        </w:rPr>
        <w:t xml:space="preserve"> and </w:t>
      </w:r>
      <w:r w:rsidR="008608CD" w:rsidRPr="00B259CF">
        <w:rPr>
          <w:rFonts w:ascii="Times New Roman" w:hAnsi="Times New Roman" w:cs="Times New Roman"/>
          <w:i/>
          <w:lang w:val="en-US"/>
        </w:rPr>
        <w:t>frame</w:t>
      </w:r>
      <w:r w:rsidR="008608CD">
        <w:rPr>
          <w:rFonts w:ascii="Times New Roman" w:hAnsi="Times New Roman" w:cs="Times New Roman"/>
          <w:i/>
          <w:lang w:val="en-US"/>
        </w:rPr>
        <w:t>-</w:t>
      </w:r>
      <w:r w:rsidR="008608CD" w:rsidRPr="00B259CF">
        <w:rPr>
          <w:rFonts w:ascii="Times New Roman" w:hAnsi="Times New Roman" w:cs="Times New Roman"/>
          <w:lang w:val="en-US"/>
        </w:rPr>
        <w:t>based</w:t>
      </w:r>
      <w:r w:rsidR="008608CD" w:rsidRPr="002505E2">
        <w:rPr>
          <w:rFonts w:ascii="Times New Roman" w:hAnsi="Times New Roman" w:cs="Times New Roman"/>
          <w:lang w:val="en-US"/>
        </w:rPr>
        <w:t xml:space="preserve"> estimates is mainly due to </w:t>
      </w:r>
      <w:r w:rsidR="008608CD">
        <w:rPr>
          <w:rFonts w:ascii="Times New Roman" w:hAnsi="Times New Roman" w:cs="Times New Roman"/>
          <w:lang w:val="en-US"/>
        </w:rPr>
        <w:t xml:space="preserve">the </w:t>
      </w:r>
      <w:r w:rsidR="008608CD" w:rsidRPr="00D8280B">
        <w:rPr>
          <w:rFonts w:ascii="Times New Roman" w:hAnsi="Times New Roman" w:cs="Times New Roman"/>
          <w:lang w:val="en-US"/>
        </w:rPr>
        <w:t>“sampling component</w:t>
      </w:r>
      <w:r w:rsidR="008608CD">
        <w:rPr>
          <w:rFonts w:ascii="Times New Roman" w:hAnsi="Times New Roman" w:cs="Times New Roman"/>
          <w:lang w:val="en-US"/>
        </w:rPr>
        <w:t>”</w:t>
      </w:r>
      <w:r w:rsidR="008608CD" w:rsidRPr="002505E2">
        <w:rPr>
          <w:rFonts w:ascii="Times New Roman" w:hAnsi="Times New Roman" w:cs="Times New Roman"/>
          <w:lang w:val="en-US"/>
        </w:rPr>
        <w:t>. This evidence indicate</w:t>
      </w:r>
      <w:r w:rsidR="008608CD">
        <w:rPr>
          <w:rFonts w:ascii="Times New Roman" w:hAnsi="Times New Roman" w:cs="Times New Roman"/>
          <w:lang w:val="en-US"/>
        </w:rPr>
        <w:t>s</w:t>
      </w:r>
      <w:r w:rsidR="008608CD" w:rsidRPr="002505E2">
        <w:rPr>
          <w:rFonts w:ascii="Times New Roman" w:hAnsi="Times New Roman" w:cs="Times New Roman"/>
          <w:lang w:val="en-US"/>
        </w:rPr>
        <w:t xml:space="preserve"> that the </w:t>
      </w:r>
      <w:r w:rsidR="008608CD" w:rsidRPr="00B259CF">
        <w:rPr>
          <w:rFonts w:ascii="Times New Roman" w:hAnsi="Times New Roman" w:cs="Times New Roman"/>
          <w:i/>
          <w:lang w:val="en-US"/>
        </w:rPr>
        <w:t>frame</w:t>
      </w:r>
      <w:r w:rsidR="008608CD" w:rsidRPr="002505E2">
        <w:rPr>
          <w:rFonts w:ascii="Times New Roman" w:hAnsi="Times New Roman" w:cs="Times New Roman"/>
          <w:lang w:val="en-US"/>
        </w:rPr>
        <w:t xml:space="preserve"> may ensure final </w:t>
      </w:r>
      <w:r w:rsidR="008608CD" w:rsidRPr="002505E2">
        <w:rPr>
          <w:rFonts w:ascii="Times New Roman" w:hAnsi="Times New Roman" w:cs="Times New Roman"/>
          <w:lang w:val="en-US"/>
        </w:rPr>
        <w:lastRenderedPageBreak/>
        <w:t xml:space="preserve">estimates of the </w:t>
      </w:r>
      <w:r w:rsidR="008608CD">
        <w:rPr>
          <w:rFonts w:ascii="Times New Roman" w:hAnsi="Times New Roman" w:cs="Times New Roman"/>
          <w:lang w:val="en-US"/>
        </w:rPr>
        <w:t>main target</w:t>
      </w:r>
      <w:r w:rsidR="008608CD" w:rsidRPr="002505E2">
        <w:rPr>
          <w:rFonts w:ascii="Times New Roman" w:hAnsi="Times New Roman" w:cs="Times New Roman"/>
          <w:lang w:val="en-US"/>
        </w:rPr>
        <w:t xml:space="preserve"> variables which are </w:t>
      </w:r>
      <w:r w:rsidR="008608CD">
        <w:rPr>
          <w:rFonts w:ascii="Times New Roman" w:hAnsi="Times New Roman" w:cs="Times New Roman"/>
          <w:lang w:val="en-US"/>
        </w:rPr>
        <w:t>free of</w:t>
      </w:r>
      <w:r w:rsidR="008608CD" w:rsidRPr="002505E2">
        <w:rPr>
          <w:rFonts w:ascii="Times New Roman" w:hAnsi="Times New Roman" w:cs="Times New Roman"/>
          <w:lang w:val="en-US"/>
        </w:rPr>
        <w:t xml:space="preserve"> the</w:t>
      </w:r>
      <w:r w:rsidR="008608CD">
        <w:rPr>
          <w:rFonts w:ascii="Times New Roman" w:hAnsi="Times New Roman" w:cs="Times New Roman"/>
          <w:lang w:val="en-US"/>
        </w:rPr>
        <w:t xml:space="preserve"> “traditional” </w:t>
      </w:r>
      <w:r w:rsidR="008608CD" w:rsidRPr="002505E2">
        <w:rPr>
          <w:rFonts w:ascii="Times New Roman" w:hAnsi="Times New Roman" w:cs="Times New Roman"/>
          <w:lang w:val="en-US"/>
        </w:rPr>
        <w:t>levels of sampling error</w:t>
      </w:r>
      <w:r w:rsidR="008608CD">
        <w:rPr>
          <w:rFonts w:ascii="Times New Roman" w:hAnsi="Times New Roman" w:cs="Times New Roman"/>
          <w:lang w:val="en-US"/>
        </w:rPr>
        <w:t>s,</w:t>
      </w:r>
      <w:r w:rsidR="008608CD" w:rsidRPr="002505E2">
        <w:rPr>
          <w:rFonts w:ascii="Times New Roman" w:hAnsi="Times New Roman" w:cs="Times New Roman"/>
          <w:lang w:val="en-US"/>
        </w:rPr>
        <w:t xml:space="preserve"> deriving from the necessity of estimating </w:t>
      </w:r>
      <w:r w:rsidR="008608CD">
        <w:rPr>
          <w:rFonts w:ascii="Times New Roman" w:hAnsi="Times New Roman" w:cs="Times New Roman"/>
          <w:lang w:val="en-US"/>
        </w:rPr>
        <w:t>target parameters</w:t>
      </w:r>
      <w:r w:rsidR="008608CD" w:rsidRPr="002505E2">
        <w:rPr>
          <w:rFonts w:ascii="Times New Roman" w:hAnsi="Times New Roman" w:cs="Times New Roman"/>
          <w:lang w:val="en-US"/>
        </w:rPr>
        <w:t xml:space="preserve"> </w:t>
      </w:r>
      <w:r w:rsidR="008608CD">
        <w:rPr>
          <w:rFonts w:ascii="Times New Roman" w:hAnsi="Times New Roman" w:cs="Times New Roman"/>
          <w:lang w:val="en-US"/>
        </w:rPr>
        <w:t>for</w:t>
      </w:r>
      <w:r w:rsidR="008608CD" w:rsidRPr="002505E2">
        <w:rPr>
          <w:rFonts w:ascii="Times New Roman" w:hAnsi="Times New Roman" w:cs="Times New Roman"/>
          <w:lang w:val="en-US"/>
        </w:rPr>
        <w:t xml:space="preserve"> a very large population based on a relatively </w:t>
      </w:r>
      <w:r w:rsidR="008608CD">
        <w:rPr>
          <w:rFonts w:ascii="Times New Roman" w:hAnsi="Times New Roman" w:cs="Times New Roman"/>
          <w:lang w:val="en-US"/>
        </w:rPr>
        <w:t>small</w:t>
      </w:r>
      <w:r w:rsidR="008608CD" w:rsidRPr="002505E2">
        <w:rPr>
          <w:rFonts w:ascii="Times New Roman" w:hAnsi="Times New Roman" w:cs="Times New Roman"/>
          <w:lang w:val="en-US"/>
        </w:rPr>
        <w:t xml:space="preserve"> survey sample size</w:t>
      </w:r>
      <w:r w:rsidR="008608CD">
        <w:rPr>
          <w:rFonts w:ascii="Times New Roman" w:hAnsi="Times New Roman" w:cs="Times New Roman"/>
          <w:lang w:val="en-US"/>
        </w:rPr>
        <w:t>.</w:t>
      </w:r>
    </w:p>
    <w:p w:rsidR="003E694C" w:rsidRPr="00D8280B" w:rsidRDefault="003E694C" w:rsidP="008608CD">
      <w:pPr>
        <w:pStyle w:val="Default"/>
        <w:spacing w:before="240" w:after="240"/>
        <w:jc w:val="both"/>
        <w:rPr>
          <w:rFonts w:ascii="Times New Roman" w:hAnsi="Times New Roman" w:cs="Times New Roman"/>
          <w:i/>
          <w:lang w:val="en-US"/>
        </w:rPr>
      </w:pPr>
      <w:r w:rsidRPr="00D8280B">
        <w:rPr>
          <w:rFonts w:ascii="Times New Roman" w:hAnsi="Times New Roman" w:cs="Times New Roman"/>
          <w:i/>
          <w:lang w:val="en-US"/>
        </w:rPr>
        <w:t>Table 5: Total difference (</w:t>
      </w:r>
      <w:proofErr w:type="spellStart"/>
      <w:r w:rsidRPr="00D8280B">
        <w:rPr>
          <w:rFonts w:ascii="Times New Roman" w:hAnsi="Times New Roman" w:cs="Times New Roman"/>
          <w:i/>
          <w:lang w:val="en-US"/>
        </w:rPr>
        <w:t>d</w:t>
      </w:r>
      <w:r w:rsidRPr="00136642">
        <w:rPr>
          <w:rFonts w:ascii="Times New Roman" w:hAnsi="Times New Roman" w:cs="Times New Roman"/>
          <w:i/>
          <w:vertAlign w:val="superscript"/>
          <w:lang w:val="en-US"/>
        </w:rPr>
        <w:t>t</w:t>
      </w:r>
      <w:proofErr w:type="spellEnd"/>
      <w:r w:rsidRPr="00D8280B">
        <w:rPr>
          <w:rFonts w:ascii="Times New Roman" w:hAnsi="Times New Roman" w:cs="Times New Roman"/>
          <w:i/>
          <w:lang w:val="en-US"/>
        </w:rPr>
        <w:t>) and measurement component (</w:t>
      </w:r>
      <w:proofErr w:type="spellStart"/>
      <w:r w:rsidRPr="00D8280B">
        <w:rPr>
          <w:rFonts w:ascii="Times New Roman" w:hAnsi="Times New Roman" w:cs="Times New Roman"/>
          <w:i/>
          <w:lang w:val="en-US"/>
        </w:rPr>
        <w:t>d</w:t>
      </w:r>
      <w:r w:rsidRPr="00136642">
        <w:rPr>
          <w:rFonts w:ascii="Times New Roman" w:hAnsi="Times New Roman" w:cs="Times New Roman"/>
          <w:i/>
          <w:vertAlign w:val="subscript"/>
          <w:lang w:val="en-US"/>
        </w:rPr>
        <w:t>m</w:t>
      </w:r>
      <w:proofErr w:type="spellEnd"/>
      <w:r w:rsidRPr="00D8280B">
        <w:rPr>
          <w:rFonts w:ascii="Times New Roman" w:hAnsi="Times New Roman" w:cs="Times New Roman"/>
          <w:i/>
          <w:lang w:val="en-US"/>
        </w:rPr>
        <w:t>) in comparing estimates based on administrative data and sample data. Year 2011</w:t>
      </w:r>
    </w:p>
    <w:tbl>
      <w:tblPr>
        <w:tblStyle w:val="Grigliatabella"/>
        <w:tblW w:w="0" w:type="auto"/>
        <w:tblLook w:val="04A0" w:firstRow="1" w:lastRow="0" w:firstColumn="1" w:lastColumn="0" w:noHBand="0" w:noVBand="1"/>
      </w:tblPr>
      <w:tblGrid>
        <w:gridCol w:w="1222"/>
        <w:gridCol w:w="1222"/>
        <w:gridCol w:w="1222"/>
        <w:gridCol w:w="1222"/>
        <w:gridCol w:w="1222"/>
        <w:gridCol w:w="1222"/>
        <w:gridCol w:w="1223"/>
        <w:gridCol w:w="1223"/>
      </w:tblGrid>
      <w:tr w:rsidR="003E694C" w:rsidRPr="0035304E" w:rsidTr="00AA4AA6">
        <w:tc>
          <w:tcPr>
            <w:tcW w:w="2444" w:type="dxa"/>
            <w:gridSpan w:val="2"/>
            <w:tcBorders>
              <w:top w:val="single" w:sz="4" w:space="0" w:color="auto"/>
              <w:left w:val="nil"/>
              <w:bottom w:val="single" w:sz="4" w:space="0" w:color="auto"/>
              <w:right w:val="single" w:sz="4" w:space="0" w:color="auto"/>
            </w:tcBorders>
          </w:tcPr>
          <w:p w:rsidR="003E694C" w:rsidRPr="0035304E" w:rsidRDefault="003E694C" w:rsidP="001752C2">
            <w:pPr>
              <w:pStyle w:val="Default"/>
              <w:jc w:val="both"/>
              <w:rPr>
                <w:i/>
                <w:sz w:val="20"/>
                <w:szCs w:val="20"/>
                <w:lang w:val="en-US"/>
              </w:rPr>
            </w:pPr>
          </w:p>
        </w:tc>
        <w:tc>
          <w:tcPr>
            <w:tcW w:w="3666" w:type="dxa"/>
            <w:gridSpan w:val="3"/>
            <w:tcBorders>
              <w:top w:val="single" w:sz="4" w:space="0" w:color="auto"/>
              <w:left w:val="single" w:sz="4" w:space="0" w:color="auto"/>
              <w:bottom w:val="single" w:sz="4" w:space="0" w:color="auto"/>
            </w:tcBorders>
          </w:tcPr>
          <w:p w:rsidR="003E694C" w:rsidRPr="0035304E" w:rsidRDefault="003E694C" w:rsidP="001752C2">
            <w:pPr>
              <w:pStyle w:val="Default"/>
              <w:jc w:val="center"/>
              <w:rPr>
                <w:i/>
                <w:sz w:val="20"/>
                <w:szCs w:val="20"/>
                <w:lang w:val="en-US"/>
              </w:rPr>
            </w:pPr>
            <w:proofErr w:type="spellStart"/>
            <w:r w:rsidRPr="0035304E">
              <w:rPr>
                <w:i/>
                <w:sz w:val="20"/>
                <w:szCs w:val="20"/>
                <w:lang w:val="en-US"/>
              </w:rPr>
              <w:t>d</w:t>
            </w:r>
            <w:r w:rsidRPr="0035304E">
              <w:rPr>
                <w:i/>
                <w:sz w:val="20"/>
                <w:szCs w:val="20"/>
                <w:vertAlign w:val="superscript"/>
                <w:lang w:val="en-US"/>
              </w:rPr>
              <w:t>t</w:t>
            </w:r>
            <w:proofErr w:type="spellEnd"/>
          </w:p>
        </w:tc>
        <w:tc>
          <w:tcPr>
            <w:tcW w:w="3668" w:type="dxa"/>
            <w:gridSpan w:val="3"/>
            <w:tcBorders>
              <w:top w:val="single" w:sz="4" w:space="0" w:color="auto"/>
              <w:bottom w:val="single" w:sz="4" w:space="0" w:color="auto"/>
              <w:right w:val="nil"/>
            </w:tcBorders>
          </w:tcPr>
          <w:p w:rsidR="003E694C" w:rsidRPr="0035304E" w:rsidRDefault="003E694C" w:rsidP="001752C2">
            <w:pPr>
              <w:pStyle w:val="Default"/>
              <w:jc w:val="center"/>
              <w:rPr>
                <w:i/>
                <w:sz w:val="20"/>
                <w:szCs w:val="20"/>
                <w:lang w:val="en-US"/>
              </w:rPr>
            </w:pPr>
            <w:proofErr w:type="spellStart"/>
            <w:r w:rsidRPr="0035304E">
              <w:rPr>
                <w:i/>
                <w:sz w:val="20"/>
                <w:szCs w:val="20"/>
                <w:lang w:val="en-US"/>
              </w:rPr>
              <w:t>d</w:t>
            </w:r>
            <w:r w:rsidRPr="0035304E">
              <w:rPr>
                <w:i/>
                <w:sz w:val="20"/>
                <w:szCs w:val="20"/>
                <w:vertAlign w:val="superscript"/>
                <w:lang w:val="en-US"/>
              </w:rPr>
              <w:t>m</w:t>
            </w:r>
            <w:proofErr w:type="spellEnd"/>
          </w:p>
        </w:tc>
      </w:tr>
      <w:tr w:rsidR="003E694C" w:rsidRPr="0035304E" w:rsidTr="00AA4AA6">
        <w:tc>
          <w:tcPr>
            <w:tcW w:w="1222" w:type="dxa"/>
            <w:tcBorders>
              <w:top w:val="single" w:sz="4" w:space="0" w:color="auto"/>
              <w:left w:val="nil"/>
              <w:bottom w:val="single" w:sz="4" w:space="0" w:color="auto"/>
              <w:right w:val="nil"/>
            </w:tcBorders>
          </w:tcPr>
          <w:p w:rsidR="003E694C" w:rsidRPr="0035304E" w:rsidRDefault="003E694C" w:rsidP="004D7E93">
            <w:pPr>
              <w:pStyle w:val="Default"/>
              <w:jc w:val="center"/>
              <w:rPr>
                <w:b/>
                <w:i/>
                <w:sz w:val="20"/>
                <w:szCs w:val="20"/>
                <w:lang w:val="en-US"/>
              </w:rPr>
            </w:pPr>
            <w:r w:rsidRPr="0035304E">
              <w:rPr>
                <w:b/>
                <w:i/>
                <w:sz w:val="20"/>
                <w:szCs w:val="20"/>
                <w:lang w:val="en-US"/>
              </w:rPr>
              <w:t>N</w:t>
            </w:r>
          </w:p>
        </w:tc>
        <w:tc>
          <w:tcPr>
            <w:tcW w:w="1222" w:type="dxa"/>
            <w:tcBorders>
              <w:top w:val="single" w:sz="4" w:space="0" w:color="auto"/>
              <w:left w:val="nil"/>
              <w:bottom w:val="single" w:sz="4" w:space="0" w:color="auto"/>
              <w:right w:val="single" w:sz="4" w:space="0" w:color="auto"/>
            </w:tcBorders>
          </w:tcPr>
          <w:p w:rsidR="003E694C" w:rsidRPr="0035304E" w:rsidRDefault="003E694C" w:rsidP="004D7E93">
            <w:pPr>
              <w:pStyle w:val="Default"/>
              <w:jc w:val="center"/>
              <w:rPr>
                <w:b/>
                <w:i/>
                <w:sz w:val="20"/>
                <w:szCs w:val="20"/>
                <w:lang w:val="en-US"/>
              </w:rPr>
            </w:pPr>
            <w:r w:rsidRPr="0035304E">
              <w:rPr>
                <w:b/>
                <w:i/>
                <w:sz w:val="20"/>
                <w:szCs w:val="20"/>
                <w:lang w:val="en-US"/>
              </w:rPr>
              <w:t>n</w:t>
            </w:r>
          </w:p>
        </w:tc>
        <w:tc>
          <w:tcPr>
            <w:tcW w:w="1222" w:type="dxa"/>
            <w:tcBorders>
              <w:top w:val="single" w:sz="4" w:space="0" w:color="auto"/>
              <w:left w:val="single" w:sz="4" w:space="0" w:color="auto"/>
              <w:bottom w:val="single" w:sz="4" w:space="0" w:color="auto"/>
              <w:right w:val="nil"/>
            </w:tcBorders>
          </w:tcPr>
          <w:p w:rsidR="003E694C" w:rsidRPr="0035304E" w:rsidRDefault="00AD2F91" w:rsidP="001752C2">
            <w:pPr>
              <w:pStyle w:val="Default"/>
              <w:jc w:val="center"/>
              <w:rPr>
                <w:b/>
                <w:i/>
                <w:sz w:val="20"/>
                <w:szCs w:val="20"/>
                <w:lang w:val="en-US"/>
              </w:rPr>
            </w:pPr>
            <w:r>
              <w:rPr>
                <w:rFonts w:asciiTheme="minorHAnsi" w:hAnsiTheme="minorHAnsi" w:cstheme="minorHAnsi"/>
                <w:b/>
                <w:i/>
                <w:sz w:val="20"/>
                <w:szCs w:val="20"/>
                <w:lang w:val="en-US"/>
              </w:rPr>
              <w:t>T</w:t>
            </w:r>
          </w:p>
        </w:tc>
        <w:tc>
          <w:tcPr>
            <w:tcW w:w="1222" w:type="dxa"/>
            <w:tcBorders>
              <w:top w:val="single" w:sz="4" w:space="0" w:color="auto"/>
              <w:left w:val="nil"/>
              <w:bottom w:val="single" w:sz="4" w:space="0" w:color="auto"/>
              <w:right w:val="nil"/>
            </w:tcBorders>
          </w:tcPr>
          <w:p w:rsidR="003E694C" w:rsidRPr="0035304E" w:rsidRDefault="003E694C" w:rsidP="001752C2">
            <w:pPr>
              <w:pStyle w:val="Default"/>
              <w:jc w:val="center"/>
              <w:rPr>
                <w:b/>
                <w:i/>
                <w:sz w:val="20"/>
                <w:szCs w:val="20"/>
                <w:lang w:val="en-US"/>
              </w:rPr>
            </w:pPr>
            <w:r w:rsidRPr="0035304E">
              <w:rPr>
                <w:b/>
                <w:i/>
                <w:sz w:val="20"/>
                <w:szCs w:val="20"/>
                <w:lang w:val="en-US"/>
              </w:rPr>
              <w:t>IC</w:t>
            </w:r>
          </w:p>
        </w:tc>
        <w:tc>
          <w:tcPr>
            <w:tcW w:w="1222" w:type="dxa"/>
            <w:tcBorders>
              <w:top w:val="single" w:sz="4" w:space="0" w:color="auto"/>
              <w:left w:val="nil"/>
              <w:bottom w:val="single" w:sz="4" w:space="0" w:color="auto"/>
              <w:right w:val="single" w:sz="4" w:space="0" w:color="auto"/>
            </w:tcBorders>
          </w:tcPr>
          <w:p w:rsidR="003E694C" w:rsidRPr="0035304E" w:rsidRDefault="003E694C" w:rsidP="001752C2">
            <w:pPr>
              <w:pStyle w:val="Default"/>
              <w:jc w:val="center"/>
              <w:rPr>
                <w:b/>
                <w:i/>
                <w:sz w:val="20"/>
                <w:szCs w:val="20"/>
                <w:lang w:val="en-US"/>
              </w:rPr>
            </w:pPr>
            <w:r w:rsidRPr="0035304E">
              <w:rPr>
                <w:b/>
                <w:i/>
                <w:sz w:val="20"/>
                <w:szCs w:val="20"/>
                <w:lang w:val="en-US"/>
              </w:rPr>
              <w:t>VA</w:t>
            </w:r>
          </w:p>
        </w:tc>
        <w:tc>
          <w:tcPr>
            <w:tcW w:w="1222" w:type="dxa"/>
            <w:tcBorders>
              <w:top w:val="single" w:sz="4" w:space="0" w:color="auto"/>
              <w:left w:val="single" w:sz="4" w:space="0" w:color="auto"/>
              <w:bottom w:val="single" w:sz="4" w:space="0" w:color="auto"/>
              <w:right w:val="nil"/>
            </w:tcBorders>
          </w:tcPr>
          <w:p w:rsidR="003E694C" w:rsidRPr="0035304E" w:rsidRDefault="00AD2F91" w:rsidP="001752C2">
            <w:pPr>
              <w:pStyle w:val="Default"/>
              <w:jc w:val="center"/>
              <w:rPr>
                <w:b/>
                <w:i/>
                <w:sz w:val="20"/>
                <w:szCs w:val="20"/>
                <w:lang w:val="en-US"/>
              </w:rPr>
            </w:pPr>
            <w:r>
              <w:rPr>
                <w:rFonts w:asciiTheme="minorHAnsi" w:hAnsiTheme="minorHAnsi" w:cstheme="minorHAnsi"/>
                <w:b/>
                <w:i/>
                <w:sz w:val="20"/>
                <w:szCs w:val="20"/>
                <w:lang w:val="en-US"/>
              </w:rPr>
              <w:t>T</w:t>
            </w:r>
          </w:p>
        </w:tc>
        <w:tc>
          <w:tcPr>
            <w:tcW w:w="1223" w:type="dxa"/>
            <w:tcBorders>
              <w:top w:val="single" w:sz="4" w:space="0" w:color="auto"/>
              <w:left w:val="nil"/>
              <w:bottom w:val="single" w:sz="4" w:space="0" w:color="auto"/>
              <w:right w:val="nil"/>
            </w:tcBorders>
          </w:tcPr>
          <w:p w:rsidR="003E694C" w:rsidRPr="0035304E" w:rsidRDefault="003E694C" w:rsidP="001752C2">
            <w:pPr>
              <w:pStyle w:val="Default"/>
              <w:jc w:val="center"/>
              <w:rPr>
                <w:b/>
                <w:i/>
                <w:sz w:val="20"/>
                <w:szCs w:val="20"/>
                <w:lang w:val="en-US"/>
              </w:rPr>
            </w:pPr>
            <w:r w:rsidRPr="0035304E">
              <w:rPr>
                <w:b/>
                <w:i/>
                <w:sz w:val="20"/>
                <w:szCs w:val="20"/>
                <w:lang w:val="en-US"/>
              </w:rPr>
              <w:t>IC</w:t>
            </w:r>
          </w:p>
        </w:tc>
        <w:tc>
          <w:tcPr>
            <w:tcW w:w="1223" w:type="dxa"/>
            <w:tcBorders>
              <w:top w:val="single" w:sz="4" w:space="0" w:color="auto"/>
              <w:left w:val="nil"/>
              <w:bottom w:val="single" w:sz="4" w:space="0" w:color="auto"/>
              <w:right w:val="nil"/>
            </w:tcBorders>
          </w:tcPr>
          <w:p w:rsidR="003E694C" w:rsidRPr="0035304E" w:rsidRDefault="003E694C" w:rsidP="001752C2">
            <w:pPr>
              <w:pStyle w:val="Default"/>
              <w:jc w:val="center"/>
              <w:rPr>
                <w:b/>
                <w:i/>
                <w:sz w:val="20"/>
                <w:szCs w:val="20"/>
                <w:lang w:val="en-US"/>
              </w:rPr>
            </w:pPr>
            <w:r w:rsidRPr="0035304E">
              <w:rPr>
                <w:b/>
                <w:i/>
                <w:sz w:val="20"/>
                <w:szCs w:val="20"/>
                <w:lang w:val="en-US"/>
              </w:rPr>
              <w:t>VA</w:t>
            </w:r>
          </w:p>
        </w:tc>
      </w:tr>
      <w:tr w:rsidR="003E694C" w:rsidRPr="0035304E" w:rsidTr="00AA4AA6">
        <w:tc>
          <w:tcPr>
            <w:tcW w:w="1222" w:type="dxa"/>
            <w:tcBorders>
              <w:left w:val="nil"/>
              <w:bottom w:val="single" w:sz="4" w:space="0" w:color="auto"/>
              <w:right w:val="nil"/>
            </w:tcBorders>
          </w:tcPr>
          <w:p w:rsidR="003E694C" w:rsidRPr="0035304E" w:rsidRDefault="003E694C" w:rsidP="004D7E93">
            <w:pPr>
              <w:pStyle w:val="Default"/>
              <w:jc w:val="center"/>
              <w:rPr>
                <w:sz w:val="20"/>
                <w:szCs w:val="20"/>
                <w:lang w:val="en-US"/>
              </w:rPr>
            </w:pPr>
            <w:r w:rsidRPr="0035304E">
              <w:rPr>
                <w:sz w:val="20"/>
                <w:szCs w:val="20"/>
                <w:lang w:val="en-US"/>
              </w:rPr>
              <w:t>4,432,928</w:t>
            </w:r>
          </w:p>
        </w:tc>
        <w:tc>
          <w:tcPr>
            <w:tcW w:w="1222" w:type="dxa"/>
            <w:tcBorders>
              <w:left w:val="nil"/>
              <w:bottom w:val="single" w:sz="4" w:space="0" w:color="auto"/>
              <w:right w:val="single" w:sz="4" w:space="0" w:color="auto"/>
            </w:tcBorders>
          </w:tcPr>
          <w:p w:rsidR="003E694C" w:rsidRPr="0035304E" w:rsidRDefault="003E694C" w:rsidP="004D7E93">
            <w:pPr>
              <w:pStyle w:val="Default"/>
              <w:jc w:val="center"/>
              <w:rPr>
                <w:sz w:val="20"/>
                <w:szCs w:val="20"/>
                <w:lang w:val="en-US"/>
              </w:rPr>
            </w:pPr>
            <w:r w:rsidRPr="0035304E">
              <w:rPr>
                <w:sz w:val="20"/>
                <w:szCs w:val="20"/>
                <w:lang w:val="en-US"/>
              </w:rPr>
              <w:t>74,112</w:t>
            </w:r>
          </w:p>
        </w:tc>
        <w:tc>
          <w:tcPr>
            <w:tcW w:w="1222" w:type="dxa"/>
            <w:tcBorders>
              <w:left w:val="single" w:sz="4" w:space="0" w:color="auto"/>
              <w:bottom w:val="single" w:sz="4" w:space="0" w:color="auto"/>
              <w:right w:val="nil"/>
            </w:tcBorders>
          </w:tcPr>
          <w:p w:rsidR="003E694C" w:rsidRPr="0035304E" w:rsidRDefault="003E694C" w:rsidP="001752C2">
            <w:pPr>
              <w:pStyle w:val="Default"/>
              <w:jc w:val="center"/>
              <w:rPr>
                <w:sz w:val="20"/>
                <w:szCs w:val="20"/>
                <w:lang w:val="en-US"/>
              </w:rPr>
            </w:pPr>
            <w:r w:rsidRPr="0035304E">
              <w:rPr>
                <w:sz w:val="20"/>
                <w:szCs w:val="20"/>
                <w:lang w:val="en-US"/>
              </w:rPr>
              <w:t>-6.5</w:t>
            </w:r>
          </w:p>
        </w:tc>
        <w:tc>
          <w:tcPr>
            <w:tcW w:w="1222" w:type="dxa"/>
            <w:tcBorders>
              <w:left w:val="nil"/>
              <w:bottom w:val="single" w:sz="4" w:space="0" w:color="auto"/>
              <w:right w:val="nil"/>
            </w:tcBorders>
          </w:tcPr>
          <w:p w:rsidR="003E694C" w:rsidRPr="0035304E" w:rsidRDefault="003E694C" w:rsidP="001752C2">
            <w:pPr>
              <w:pStyle w:val="Default"/>
              <w:jc w:val="center"/>
              <w:rPr>
                <w:sz w:val="20"/>
                <w:szCs w:val="20"/>
                <w:lang w:val="en-US"/>
              </w:rPr>
            </w:pPr>
            <w:r w:rsidRPr="0035304E">
              <w:rPr>
                <w:sz w:val="20"/>
                <w:szCs w:val="20"/>
                <w:lang w:val="en-US"/>
              </w:rPr>
              <w:t>-8.8</w:t>
            </w:r>
          </w:p>
        </w:tc>
        <w:tc>
          <w:tcPr>
            <w:tcW w:w="1222" w:type="dxa"/>
            <w:tcBorders>
              <w:left w:val="nil"/>
              <w:bottom w:val="single" w:sz="4" w:space="0" w:color="auto"/>
              <w:right w:val="single" w:sz="4" w:space="0" w:color="auto"/>
            </w:tcBorders>
          </w:tcPr>
          <w:p w:rsidR="003E694C" w:rsidRPr="0035304E" w:rsidRDefault="003E694C" w:rsidP="001752C2">
            <w:pPr>
              <w:pStyle w:val="Default"/>
              <w:jc w:val="center"/>
              <w:rPr>
                <w:sz w:val="20"/>
                <w:szCs w:val="20"/>
                <w:lang w:val="en-US"/>
              </w:rPr>
            </w:pPr>
            <w:r w:rsidRPr="0035304E">
              <w:rPr>
                <w:sz w:val="20"/>
                <w:szCs w:val="20"/>
                <w:lang w:val="en-US"/>
              </w:rPr>
              <w:t>0.2</w:t>
            </w:r>
          </w:p>
        </w:tc>
        <w:tc>
          <w:tcPr>
            <w:tcW w:w="1222" w:type="dxa"/>
            <w:tcBorders>
              <w:left w:val="single" w:sz="4" w:space="0" w:color="auto"/>
              <w:bottom w:val="single" w:sz="4" w:space="0" w:color="auto"/>
              <w:right w:val="nil"/>
            </w:tcBorders>
          </w:tcPr>
          <w:p w:rsidR="003E694C" w:rsidRPr="0035304E" w:rsidRDefault="003E694C" w:rsidP="001752C2">
            <w:pPr>
              <w:pStyle w:val="Default"/>
              <w:jc w:val="center"/>
              <w:rPr>
                <w:sz w:val="20"/>
                <w:szCs w:val="20"/>
                <w:lang w:val="en-US"/>
              </w:rPr>
            </w:pPr>
            <w:r w:rsidRPr="0035304E">
              <w:rPr>
                <w:sz w:val="20"/>
                <w:szCs w:val="20"/>
                <w:lang w:val="en-US"/>
              </w:rPr>
              <w:t>-0.9</w:t>
            </w:r>
          </w:p>
        </w:tc>
        <w:tc>
          <w:tcPr>
            <w:tcW w:w="1223" w:type="dxa"/>
            <w:tcBorders>
              <w:left w:val="nil"/>
              <w:bottom w:val="single" w:sz="4" w:space="0" w:color="auto"/>
              <w:right w:val="nil"/>
            </w:tcBorders>
          </w:tcPr>
          <w:p w:rsidR="003E694C" w:rsidRPr="0035304E" w:rsidRDefault="003E694C" w:rsidP="001752C2">
            <w:pPr>
              <w:pStyle w:val="Default"/>
              <w:jc w:val="center"/>
              <w:rPr>
                <w:sz w:val="20"/>
                <w:szCs w:val="20"/>
                <w:lang w:val="en-US"/>
              </w:rPr>
            </w:pPr>
            <w:r w:rsidRPr="0035304E">
              <w:rPr>
                <w:sz w:val="20"/>
                <w:szCs w:val="20"/>
                <w:lang w:val="en-US"/>
              </w:rPr>
              <w:t>-0.5</w:t>
            </w:r>
          </w:p>
        </w:tc>
        <w:tc>
          <w:tcPr>
            <w:tcW w:w="1223" w:type="dxa"/>
            <w:tcBorders>
              <w:left w:val="nil"/>
              <w:bottom w:val="single" w:sz="4" w:space="0" w:color="auto"/>
              <w:right w:val="nil"/>
            </w:tcBorders>
          </w:tcPr>
          <w:p w:rsidR="003E694C" w:rsidRPr="0035304E" w:rsidRDefault="003E694C" w:rsidP="001752C2">
            <w:pPr>
              <w:pStyle w:val="Default"/>
              <w:jc w:val="center"/>
              <w:rPr>
                <w:sz w:val="20"/>
                <w:szCs w:val="20"/>
                <w:lang w:val="en-US"/>
              </w:rPr>
            </w:pPr>
            <w:r w:rsidRPr="0035304E">
              <w:rPr>
                <w:sz w:val="20"/>
                <w:szCs w:val="20"/>
                <w:lang w:val="en-US"/>
              </w:rPr>
              <w:t>-0.9</w:t>
            </w:r>
          </w:p>
        </w:tc>
      </w:tr>
    </w:tbl>
    <w:p w:rsidR="00445103" w:rsidRPr="0051237C" w:rsidRDefault="00445103" w:rsidP="007D5AD7">
      <w:pPr>
        <w:pStyle w:val="Default"/>
        <w:numPr>
          <w:ilvl w:val="1"/>
          <w:numId w:val="7"/>
        </w:numPr>
        <w:spacing w:before="360" w:after="240"/>
        <w:ind w:left="714" w:hanging="357"/>
        <w:jc w:val="both"/>
        <w:rPr>
          <w:rFonts w:ascii="Times New Roman" w:hAnsi="Times New Roman" w:cs="Times New Roman"/>
          <w:i/>
          <w:lang w:val="en-US"/>
        </w:rPr>
      </w:pPr>
      <w:r w:rsidRPr="00136642">
        <w:rPr>
          <w:rFonts w:ascii="Times New Roman" w:hAnsi="Times New Roman" w:cs="Times New Roman"/>
          <w:i/>
          <w:lang w:val="en-US"/>
        </w:rPr>
        <w:t xml:space="preserve">Estimation of the </w:t>
      </w:r>
      <w:r w:rsidR="00136642" w:rsidRPr="00136642">
        <w:rPr>
          <w:rFonts w:ascii="Times New Roman" w:hAnsi="Times New Roman" w:cs="Times New Roman"/>
          <w:i/>
          <w:lang w:val="en-US"/>
        </w:rPr>
        <w:t xml:space="preserve">components of the main </w:t>
      </w:r>
      <w:r w:rsidR="00136642">
        <w:rPr>
          <w:rFonts w:ascii="Times New Roman" w:hAnsi="Times New Roman" w:cs="Times New Roman"/>
          <w:i/>
          <w:lang w:val="en-US"/>
        </w:rPr>
        <w:t xml:space="preserve">economic </w:t>
      </w:r>
      <w:r w:rsidR="00F97276">
        <w:rPr>
          <w:rFonts w:ascii="Times New Roman" w:hAnsi="Times New Roman" w:cs="Times New Roman"/>
          <w:i/>
          <w:lang w:val="en-US"/>
        </w:rPr>
        <w:t>aggregates</w:t>
      </w:r>
    </w:p>
    <w:p w:rsidR="00136642" w:rsidRPr="00136642" w:rsidRDefault="00136642" w:rsidP="00136642">
      <w:pPr>
        <w:pStyle w:val="Default"/>
        <w:spacing w:line="360" w:lineRule="auto"/>
        <w:jc w:val="both"/>
        <w:rPr>
          <w:rFonts w:ascii="Times New Roman" w:hAnsi="Times New Roman" w:cs="Times New Roman"/>
          <w:lang w:val="en-US"/>
        </w:rPr>
      </w:pPr>
      <w:r>
        <w:rPr>
          <w:rFonts w:ascii="Times New Roman" w:hAnsi="Times New Roman" w:cs="Times New Roman"/>
          <w:lang w:val="en-US"/>
        </w:rPr>
        <w:t xml:space="preserve">For the </w:t>
      </w:r>
      <w:r w:rsidRPr="00136642">
        <w:rPr>
          <w:rFonts w:ascii="Times New Roman" w:hAnsi="Times New Roman" w:cs="Times New Roman"/>
          <w:lang w:val="en-US"/>
        </w:rPr>
        <w:t>components of each economic aggregate</w:t>
      </w:r>
      <w:r w:rsidR="00DA7F55">
        <w:rPr>
          <w:rFonts w:ascii="Times New Roman" w:hAnsi="Times New Roman" w:cs="Times New Roman"/>
          <w:lang w:val="en-US"/>
        </w:rPr>
        <w:t xml:space="preserve">, for which the </w:t>
      </w:r>
      <w:r w:rsidR="00DA7F55" w:rsidRPr="009F244F">
        <w:rPr>
          <w:rFonts w:ascii="Times New Roman" w:hAnsi="Times New Roman" w:cs="Times New Roman"/>
          <w:lang w:val="en-US"/>
        </w:rPr>
        <w:t>only informative source is essentially the SME sample survey</w:t>
      </w:r>
      <w:r w:rsidR="00DA7F55">
        <w:rPr>
          <w:rFonts w:ascii="Times New Roman" w:hAnsi="Times New Roman" w:cs="Times New Roman"/>
          <w:lang w:val="en-US"/>
        </w:rPr>
        <w:t>,</w:t>
      </w:r>
      <w:r>
        <w:rPr>
          <w:rFonts w:ascii="Times New Roman" w:hAnsi="Times New Roman" w:cs="Times New Roman"/>
          <w:lang w:val="en-US"/>
        </w:rPr>
        <w:t xml:space="preserve"> </w:t>
      </w:r>
      <w:r w:rsidRPr="00136642">
        <w:rPr>
          <w:rFonts w:ascii="Times New Roman" w:hAnsi="Times New Roman" w:cs="Times New Roman"/>
          <w:lang w:val="en-US"/>
        </w:rPr>
        <w:t xml:space="preserve">we chose a design based/ model assisted approach to the inference exploiting the randomization process of the sample selection. To define the estimation process we have been driven by some requirements of the final output. The estimated total of the sum of the elementary components belonging to a given economic aggregate must be coherent to the (estimated) total of the aggregate at domain level according to the current SBS Regulations. Furthermore, the output should be a flexible statistical tool and it can be used for other aims. In particular, NA will base its procedure on the </w:t>
      </w:r>
      <w:r w:rsidR="005B3EC3" w:rsidRPr="005B3EC3">
        <w:rPr>
          <w:rFonts w:ascii="Times New Roman" w:hAnsi="Times New Roman" w:cs="Times New Roman"/>
          <w:i/>
          <w:lang w:val="en-US"/>
        </w:rPr>
        <w:t>f</w:t>
      </w:r>
      <w:r w:rsidRPr="005B3EC3">
        <w:rPr>
          <w:rFonts w:ascii="Times New Roman" w:hAnsi="Times New Roman" w:cs="Times New Roman"/>
          <w:i/>
          <w:lang w:val="en-US"/>
        </w:rPr>
        <w:t>rame</w:t>
      </w:r>
      <w:r w:rsidRPr="00136642">
        <w:rPr>
          <w:rFonts w:ascii="Times New Roman" w:hAnsi="Times New Roman" w:cs="Times New Roman"/>
          <w:lang w:val="en-US"/>
        </w:rPr>
        <w:t xml:space="preserve">, so the coherence of the estimates must be fulfilled for the NA domains that are generally highly detailed. </w:t>
      </w:r>
    </w:p>
    <w:p w:rsidR="00136642" w:rsidRPr="00143B1C" w:rsidRDefault="00136642" w:rsidP="0051237C">
      <w:pPr>
        <w:pStyle w:val="Default"/>
        <w:spacing w:line="360" w:lineRule="auto"/>
        <w:jc w:val="both"/>
        <w:rPr>
          <w:rFonts w:ascii="Times New Roman" w:hAnsi="Times New Roman" w:cs="Times New Roman"/>
          <w:lang w:val="en-US"/>
        </w:rPr>
      </w:pPr>
      <w:r w:rsidRPr="00136642">
        <w:rPr>
          <w:rFonts w:ascii="Times New Roman" w:hAnsi="Times New Roman" w:cs="Times New Roman"/>
          <w:lang w:val="en-US"/>
        </w:rPr>
        <w:t xml:space="preserve">The estimation procedure of the components have been performed using the </w:t>
      </w:r>
      <w:r w:rsidRPr="005B3EC3">
        <w:rPr>
          <w:rFonts w:ascii="Times New Roman" w:hAnsi="Times New Roman" w:cs="Times New Roman"/>
          <w:i/>
          <w:lang w:val="en-US"/>
        </w:rPr>
        <w:t>projection estimator</w:t>
      </w:r>
      <w:r w:rsidRPr="00136642">
        <w:rPr>
          <w:rFonts w:ascii="Times New Roman" w:hAnsi="Times New Roman" w:cs="Times New Roman"/>
          <w:lang w:val="en-US"/>
        </w:rPr>
        <w:t xml:space="preserve"> (</w:t>
      </w:r>
      <w:r w:rsidR="00ED4A1C" w:rsidRPr="00CE63FD">
        <w:rPr>
          <w:lang w:val="en-US"/>
        </w:rPr>
        <w:t>[</w:t>
      </w:r>
      <w:r w:rsidR="00136891">
        <w:rPr>
          <w:lang w:val="en-US"/>
        </w:rPr>
        <w:t>6</w:t>
      </w:r>
      <w:r w:rsidR="00ED4A1C" w:rsidRPr="00CE63FD">
        <w:rPr>
          <w:lang w:val="en-US"/>
        </w:rPr>
        <w:t>]</w:t>
      </w:r>
      <w:r w:rsidRPr="00136642">
        <w:rPr>
          <w:rFonts w:ascii="Times New Roman" w:hAnsi="Times New Roman" w:cs="Times New Roman"/>
          <w:lang w:val="en-US"/>
        </w:rPr>
        <w:t>). The procedure takes into account the sample of respondents of the SME survey and, after the adjustment of the sample weights for nonresponse, sets a regression model for each variable of interest (component) being the parameters estimated using the sampling weights. The component values of the unobserved enterprises of the population are imputed or projected, using the estimated regression parameters. The final estimates are achieved as the sum of the values projected by the models. The implementation of the estimation procedure uses the economic aggr</w:t>
      </w:r>
      <w:r w:rsidR="0051237C">
        <w:rPr>
          <w:rFonts w:ascii="Times New Roman" w:hAnsi="Times New Roman" w:cs="Times New Roman"/>
          <w:lang w:val="en-US"/>
        </w:rPr>
        <w:t>egate as covariates. The underly</w:t>
      </w:r>
      <w:r w:rsidRPr="00136642">
        <w:rPr>
          <w:rFonts w:ascii="Times New Roman" w:hAnsi="Times New Roman" w:cs="Times New Roman"/>
          <w:lang w:val="en-US"/>
        </w:rPr>
        <w:t>ing assumption is that they are really observed and not obtained by means of the imputation procedure (section 4.1). The reliability of the subsequent inference will depend on the goodness of the previous imputation step. The estimator has two important properties:</w:t>
      </w:r>
      <w:r w:rsidR="0051237C">
        <w:rPr>
          <w:rFonts w:ascii="Times New Roman" w:hAnsi="Times New Roman" w:cs="Times New Roman"/>
          <w:lang w:val="en-US"/>
        </w:rPr>
        <w:t xml:space="preserve"> 1) </w:t>
      </w:r>
      <w:r w:rsidRPr="00143B1C">
        <w:rPr>
          <w:rFonts w:ascii="Times New Roman" w:hAnsi="Times New Roman" w:cs="Times New Roman"/>
          <w:lang w:val="en-US"/>
        </w:rPr>
        <w:t>it allows the use of ad hoc regression model for each component;</w:t>
      </w:r>
      <w:r w:rsidR="0051237C">
        <w:rPr>
          <w:rFonts w:ascii="Times New Roman" w:hAnsi="Times New Roman" w:cs="Times New Roman"/>
          <w:lang w:val="en-US"/>
        </w:rPr>
        <w:t xml:space="preserve"> 2) </w:t>
      </w:r>
      <w:r w:rsidRPr="00143B1C">
        <w:rPr>
          <w:rFonts w:ascii="Times New Roman" w:hAnsi="Times New Roman" w:cs="Times New Roman"/>
          <w:lang w:val="en-US"/>
        </w:rPr>
        <w:t>micro level estimates are obtained.</w:t>
      </w:r>
    </w:p>
    <w:p w:rsidR="00136642" w:rsidRPr="00143B1C" w:rsidRDefault="00136642" w:rsidP="00143B1C">
      <w:pPr>
        <w:spacing w:after="0" w:line="360" w:lineRule="auto"/>
        <w:jc w:val="both"/>
        <w:rPr>
          <w:rFonts w:ascii="Times New Roman" w:hAnsi="Times New Roman" w:cs="Times New Roman"/>
          <w:color w:val="000000"/>
          <w:sz w:val="24"/>
          <w:szCs w:val="24"/>
          <w:lang w:val="en-US"/>
        </w:rPr>
      </w:pPr>
      <w:r w:rsidRPr="00143B1C">
        <w:rPr>
          <w:rFonts w:ascii="Times New Roman" w:hAnsi="Times New Roman" w:cs="Times New Roman"/>
          <w:color w:val="000000"/>
          <w:sz w:val="24"/>
          <w:szCs w:val="24"/>
          <w:lang w:val="en-US"/>
        </w:rPr>
        <w:t xml:space="preserve">As far as the first point is concerned, we point out that the traditional regression estimator is assisted by only one regression model, therefore the </w:t>
      </w:r>
      <w:r w:rsidRPr="008D71FF">
        <w:rPr>
          <w:rFonts w:ascii="Times New Roman" w:hAnsi="Times New Roman" w:cs="Times New Roman"/>
          <w:i/>
          <w:color w:val="000000"/>
          <w:sz w:val="24"/>
          <w:szCs w:val="24"/>
          <w:lang w:val="en-US"/>
        </w:rPr>
        <w:t>projection estimator</w:t>
      </w:r>
      <w:r w:rsidRPr="00143B1C">
        <w:rPr>
          <w:rFonts w:ascii="Times New Roman" w:hAnsi="Times New Roman" w:cs="Times New Roman"/>
          <w:color w:val="000000"/>
          <w:sz w:val="24"/>
          <w:szCs w:val="24"/>
          <w:lang w:val="en-US"/>
        </w:rPr>
        <w:t xml:space="preserve"> improves the precision of the estimates. Eventually, the availability of the micro level estimates does not mean that we may use estimates for each type of subpopulations (especially highly disaggregate) since the estima</w:t>
      </w:r>
      <w:r w:rsidR="008D71FF">
        <w:rPr>
          <w:rFonts w:ascii="Times New Roman" w:hAnsi="Times New Roman" w:cs="Times New Roman"/>
          <w:color w:val="000000"/>
          <w:sz w:val="24"/>
          <w:szCs w:val="24"/>
          <w:lang w:val="en-US"/>
        </w:rPr>
        <w:t>tor could produce biased values</w:t>
      </w:r>
      <w:r w:rsidRPr="00143B1C">
        <w:rPr>
          <w:rFonts w:ascii="Times New Roman" w:hAnsi="Times New Roman" w:cs="Times New Roman"/>
          <w:color w:val="000000"/>
          <w:sz w:val="24"/>
          <w:szCs w:val="24"/>
          <w:lang w:val="en-US"/>
        </w:rPr>
        <w:t>.</w:t>
      </w:r>
      <w:r w:rsidR="008D71FF">
        <w:rPr>
          <w:rFonts w:ascii="Times New Roman" w:hAnsi="Times New Roman" w:cs="Times New Roman"/>
          <w:color w:val="000000"/>
          <w:sz w:val="24"/>
          <w:szCs w:val="24"/>
          <w:lang w:val="en-US"/>
        </w:rPr>
        <w:t xml:space="preserve"> </w:t>
      </w:r>
      <w:r w:rsidRPr="00143B1C">
        <w:rPr>
          <w:rFonts w:ascii="Times New Roman" w:hAnsi="Times New Roman" w:cs="Times New Roman"/>
          <w:color w:val="000000"/>
          <w:sz w:val="24"/>
          <w:szCs w:val="24"/>
          <w:lang w:val="en-US"/>
        </w:rPr>
        <w:t xml:space="preserve">In particular the </w:t>
      </w:r>
      <w:r w:rsidRPr="00143B1C">
        <w:rPr>
          <w:rFonts w:ascii="Times New Roman" w:hAnsi="Times New Roman" w:cs="Times New Roman"/>
          <w:i/>
          <w:color w:val="000000"/>
          <w:sz w:val="24"/>
          <w:szCs w:val="24"/>
          <w:lang w:val="en-US"/>
        </w:rPr>
        <w:t>projection estimator</w:t>
      </w:r>
      <w:r w:rsidRPr="00143B1C">
        <w:rPr>
          <w:rFonts w:ascii="Times New Roman" w:hAnsi="Times New Roman" w:cs="Times New Roman"/>
          <w:color w:val="000000"/>
          <w:sz w:val="24"/>
          <w:szCs w:val="24"/>
          <w:lang w:val="en-US"/>
        </w:rPr>
        <w:t xml:space="preserve"> is unbiased for a given domain (or at </w:t>
      </w:r>
      <w:r w:rsidRPr="00143B1C">
        <w:rPr>
          <w:rFonts w:ascii="Times New Roman" w:hAnsi="Times New Roman" w:cs="Times New Roman"/>
          <w:color w:val="000000"/>
          <w:sz w:val="24"/>
          <w:szCs w:val="24"/>
          <w:lang w:val="en-US"/>
        </w:rPr>
        <w:lastRenderedPageBreak/>
        <w:t xml:space="preserve">more aggregate level) when the domain intercept is included in the model. In case of </w:t>
      </w:r>
      <w:proofErr w:type="spellStart"/>
      <w:r w:rsidRPr="00143B1C">
        <w:rPr>
          <w:rFonts w:ascii="Times New Roman" w:hAnsi="Times New Roman" w:cs="Times New Roman"/>
          <w:color w:val="000000"/>
          <w:sz w:val="24"/>
          <w:szCs w:val="24"/>
          <w:lang w:val="en-US"/>
        </w:rPr>
        <w:t>hetheroscedastic</w:t>
      </w:r>
      <w:proofErr w:type="spellEnd"/>
      <w:r w:rsidRPr="00143B1C">
        <w:rPr>
          <w:rFonts w:ascii="Times New Roman" w:hAnsi="Times New Roman" w:cs="Times New Roman"/>
          <w:color w:val="000000"/>
          <w:sz w:val="24"/>
          <w:szCs w:val="24"/>
          <w:lang w:val="en-US"/>
        </w:rPr>
        <w:t xml:space="preserve"> model, where the variance is a square root function of a covariate, the regression parameter of such covariate must be estimated at domain level as well.</w:t>
      </w:r>
    </w:p>
    <w:p w:rsidR="00136642" w:rsidRPr="00143B1C" w:rsidRDefault="00136642" w:rsidP="00143B1C">
      <w:pPr>
        <w:spacing w:after="0" w:line="360" w:lineRule="auto"/>
        <w:jc w:val="both"/>
        <w:rPr>
          <w:rFonts w:ascii="Times New Roman" w:hAnsi="Times New Roman" w:cs="Times New Roman"/>
          <w:color w:val="000000"/>
          <w:sz w:val="24"/>
          <w:szCs w:val="24"/>
          <w:lang w:val="en-US"/>
        </w:rPr>
      </w:pPr>
      <w:r w:rsidRPr="00143B1C">
        <w:rPr>
          <w:rFonts w:ascii="Times New Roman" w:hAnsi="Times New Roman" w:cs="Times New Roman"/>
          <w:color w:val="000000"/>
          <w:sz w:val="24"/>
          <w:szCs w:val="24"/>
          <w:lang w:val="en-US"/>
        </w:rPr>
        <w:t xml:space="preserve">In the practical implementation of the procedure we have taken into account of the trade-off between precision and bias; models defined at highly detailed domain level allows to compute unbiased detailed estimates, but variance increases and then we cannot use too specific regression models. Hence, the estimation procedure first considered the coverage of about 33,600  respondents of the whole population (SME survey, year 2011). The analysis led to consider models estimated for domain defined according to the </w:t>
      </w:r>
      <w:proofErr w:type="spellStart"/>
      <w:r w:rsidRPr="00143B1C">
        <w:rPr>
          <w:rFonts w:ascii="Times New Roman" w:hAnsi="Times New Roman" w:cs="Times New Roman"/>
          <w:color w:val="000000"/>
          <w:sz w:val="24"/>
          <w:szCs w:val="24"/>
          <w:lang w:val="en-US"/>
        </w:rPr>
        <w:t>Nace</w:t>
      </w:r>
      <w:proofErr w:type="spellEnd"/>
      <w:r w:rsidRPr="00143B1C">
        <w:rPr>
          <w:rFonts w:ascii="Times New Roman" w:hAnsi="Times New Roman" w:cs="Times New Roman"/>
          <w:color w:val="000000"/>
          <w:sz w:val="24"/>
          <w:szCs w:val="24"/>
          <w:lang w:val="en-US"/>
        </w:rPr>
        <w:t xml:space="preserve"> Rev. 2 three digit economic activity by the size class of employed persons (0-5, 6-19 , 20-99 ). Under this level of detail the estimates could be biased. </w:t>
      </w:r>
    </w:p>
    <w:p w:rsidR="00136642" w:rsidRPr="00143B1C" w:rsidRDefault="00136642" w:rsidP="00143B1C">
      <w:pPr>
        <w:spacing w:after="0" w:line="360" w:lineRule="auto"/>
        <w:jc w:val="both"/>
        <w:rPr>
          <w:rFonts w:ascii="Times New Roman" w:hAnsi="Times New Roman" w:cs="Times New Roman"/>
          <w:color w:val="000000"/>
          <w:sz w:val="24"/>
          <w:szCs w:val="24"/>
          <w:lang w:val="en-US"/>
        </w:rPr>
      </w:pPr>
      <w:r w:rsidRPr="00143B1C">
        <w:rPr>
          <w:rFonts w:ascii="Times New Roman" w:hAnsi="Times New Roman" w:cs="Times New Roman"/>
          <w:color w:val="000000"/>
          <w:sz w:val="24"/>
          <w:szCs w:val="24"/>
          <w:lang w:val="en-US"/>
        </w:rPr>
        <w:t>We obtained about 600 domains (and regression models) with generally a minimum number of sampled units equal to 25 and an average number of about 45 of sampled units. In some cases we obtained smaller size domains but with a high sample rate (Tab</w:t>
      </w:r>
      <w:r w:rsidR="00143B1C">
        <w:rPr>
          <w:rFonts w:ascii="Times New Roman" w:hAnsi="Times New Roman" w:cs="Times New Roman"/>
          <w:color w:val="000000"/>
          <w:sz w:val="24"/>
          <w:szCs w:val="24"/>
          <w:lang w:val="en-US"/>
        </w:rPr>
        <w:t xml:space="preserve">le </w:t>
      </w:r>
      <w:r w:rsidR="00F97276">
        <w:rPr>
          <w:rFonts w:ascii="Times New Roman" w:hAnsi="Times New Roman" w:cs="Times New Roman"/>
          <w:color w:val="000000"/>
          <w:sz w:val="24"/>
          <w:szCs w:val="24"/>
          <w:lang w:val="en-US"/>
        </w:rPr>
        <w:t>6</w:t>
      </w:r>
      <w:r w:rsidR="00B04D59">
        <w:rPr>
          <w:rFonts w:ascii="Times New Roman" w:hAnsi="Times New Roman" w:cs="Times New Roman"/>
          <w:color w:val="000000"/>
          <w:sz w:val="24"/>
          <w:szCs w:val="24"/>
          <w:lang w:val="en-US"/>
        </w:rPr>
        <w:t>).</w:t>
      </w:r>
    </w:p>
    <w:p w:rsidR="00136642" w:rsidRPr="00143B1C" w:rsidRDefault="00136642" w:rsidP="00ED4A1C">
      <w:pPr>
        <w:spacing w:before="240" w:after="120" w:line="240" w:lineRule="auto"/>
        <w:jc w:val="both"/>
        <w:rPr>
          <w:rFonts w:ascii="Times New Roman" w:hAnsi="Times New Roman" w:cs="Times New Roman"/>
          <w:i/>
          <w:color w:val="000000"/>
          <w:sz w:val="24"/>
          <w:szCs w:val="24"/>
          <w:lang w:val="en-US"/>
        </w:rPr>
      </w:pPr>
      <w:r w:rsidRPr="00143B1C">
        <w:rPr>
          <w:rFonts w:ascii="Times New Roman" w:hAnsi="Times New Roman" w:cs="Times New Roman"/>
          <w:i/>
          <w:color w:val="000000"/>
          <w:sz w:val="24"/>
          <w:szCs w:val="24"/>
          <w:lang w:val="en-US"/>
        </w:rPr>
        <w:t xml:space="preserve">Table </w:t>
      </w:r>
      <w:r w:rsidR="00F97276">
        <w:rPr>
          <w:rFonts w:ascii="Times New Roman" w:hAnsi="Times New Roman" w:cs="Times New Roman"/>
          <w:i/>
          <w:color w:val="000000"/>
          <w:sz w:val="24"/>
          <w:szCs w:val="24"/>
          <w:lang w:val="en-US"/>
        </w:rPr>
        <w:t>6</w:t>
      </w:r>
      <w:r w:rsidRPr="00143B1C">
        <w:rPr>
          <w:rFonts w:ascii="Times New Roman" w:hAnsi="Times New Roman" w:cs="Times New Roman"/>
          <w:i/>
          <w:color w:val="000000"/>
          <w:sz w:val="24"/>
          <w:szCs w:val="24"/>
          <w:lang w:val="en-US"/>
        </w:rPr>
        <w:t xml:space="preserve"> Rules for not collapsing the domain</w:t>
      </w:r>
    </w:p>
    <w:tbl>
      <w:tblPr>
        <w:tblStyle w:val="Grigliatabella"/>
        <w:tblW w:w="0" w:type="auto"/>
        <w:tblBorders>
          <w:left w:val="none" w:sz="0" w:space="0" w:color="auto"/>
          <w:right w:val="none" w:sz="0" w:space="0" w:color="auto"/>
        </w:tblBorders>
        <w:tblLook w:val="0420" w:firstRow="1" w:lastRow="0" w:firstColumn="0" w:lastColumn="0" w:noHBand="0" w:noVBand="1"/>
      </w:tblPr>
      <w:tblGrid>
        <w:gridCol w:w="2802"/>
        <w:gridCol w:w="5244"/>
      </w:tblGrid>
      <w:tr w:rsidR="00136642" w:rsidRPr="008D71FF" w:rsidTr="004D7E93">
        <w:trPr>
          <w:trHeight w:val="584"/>
        </w:trPr>
        <w:tc>
          <w:tcPr>
            <w:tcW w:w="2802" w:type="dxa"/>
            <w:tcBorders>
              <w:bottom w:val="single" w:sz="4" w:space="0" w:color="auto"/>
              <w:right w:val="nil"/>
            </w:tcBorders>
            <w:hideMark/>
          </w:tcPr>
          <w:p w:rsidR="00136642" w:rsidRPr="00E85963" w:rsidRDefault="00136642" w:rsidP="004D7E93">
            <w:pPr>
              <w:jc w:val="center"/>
              <w:rPr>
                <w:rFonts w:cs="Calibri"/>
                <w:color w:val="000000"/>
                <w:lang w:val="en-US"/>
              </w:rPr>
            </w:pPr>
            <w:r w:rsidRPr="00E85963">
              <w:rPr>
                <w:rFonts w:cs="Calibri"/>
                <w:color w:val="000000"/>
                <w:lang w:val="en-US"/>
              </w:rPr>
              <w:t>(If) Number of respondents</w:t>
            </w:r>
          </w:p>
        </w:tc>
        <w:tc>
          <w:tcPr>
            <w:tcW w:w="5244" w:type="dxa"/>
            <w:tcBorders>
              <w:left w:val="nil"/>
              <w:bottom w:val="single" w:sz="4" w:space="0" w:color="auto"/>
            </w:tcBorders>
            <w:hideMark/>
          </w:tcPr>
          <w:p w:rsidR="00136642" w:rsidRPr="00E85963" w:rsidRDefault="00136642" w:rsidP="004D7E93">
            <w:pPr>
              <w:jc w:val="center"/>
              <w:rPr>
                <w:rFonts w:cs="Calibri"/>
                <w:color w:val="000000"/>
                <w:lang w:val="en-US"/>
              </w:rPr>
            </w:pPr>
            <w:r w:rsidRPr="00E85963">
              <w:rPr>
                <w:rFonts w:cs="Calibri"/>
                <w:color w:val="000000"/>
                <w:lang w:val="en-US"/>
              </w:rPr>
              <w:t>(than) Sample rate</w:t>
            </w:r>
          </w:p>
          <w:p w:rsidR="00136642" w:rsidRPr="00E85963" w:rsidRDefault="00136642" w:rsidP="004D7E93">
            <w:pPr>
              <w:jc w:val="center"/>
              <w:rPr>
                <w:rFonts w:cs="Calibri"/>
                <w:color w:val="000000"/>
                <w:lang w:val="en-US"/>
              </w:rPr>
            </w:pPr>
            <w:r w:rsidRPr="00E85963">
              <w:rPr>
                <w:rFonts w:cs="Calibri"/>
                <w:color w:val="000000"/>
                <w:lang w:val="en-US"/>
              </w:rPr>
              <w:t>(respondents/population size)</w:t>
            </w:r>
          </w:p>
        </w:tc>
      </w:tr>
      <w:tr w:rsidR="00136642" w:rsidRPr="00E85963" w:rsidTr="004D7E93">
        <w:trPr>
          <w:trHeight w:val="190"/>
        </w:trPr>
        <w:tc>
          <w:tcPr>
            <w:tcW w:w="0" w:type="auto"/>
            <w:tcBorders>
              <w:bottom w:val="nil"/>
              <w:right w:val="nil"/>
            </w:tcBorders>
            <w:hideMark/>
          </w:tcPr>
          <w:p w:rsidR="00136642" w:rsidRPr="00E85963" w:rsidRDefault="00136642" w:rsidP="004D7E93">
            <w:pPr>
              <w:jc w:val="center"/>
              <w:rPr>
                <w:rFonts w:cs="Calibri"/>
                <w:color w:val="000000"/>
                <w:lang w:val="en-US"/>
              </w:rPr>
            </w:pPr>
            <w:r w:rsidRPr="00E85963">
              <w:rPr>
                <w:rFonts w:cs="Calibri"/>
                <w:color w:val="000000"/>
                <w:lang w:val="en-US"/>
              </w:rPr>
              <w:t>1-2</w:t>
            </w:r>
          </w:p>
        </w:tc>
        <w:tc>
          <w:tcPr>
            <w:tcW w:w="5244" w:type="dxa"/>
            <w:tcBorders>
              <w:left w:val="nil"/>
              <w:bottom w:val="nil"/>
            </w:tcBorders>
            <w:hideMark/>
          </w:tcPr>
          <w:p w:rsidR="00136642" w:rsidRPr="00E85963" w:rsidRDefault="00136642" w:rsidP="004D7E93">
            <w:pPr>
              <w:jc w:val="center"/>
              <w:rPr>
                <w:rFonts w:cs="Calibri"/>
                <w:color w:val="000000"/>
                <w:lang w:val="en-US"/>
              </w:rPr>
            </w:pPr>
            <w:r w:rsidRPr="00E85963">
              <w:rPr>
                <w:rFonts w:cs="Calibri"/>
                <w:color w:val="000000"/>
                <w:lang w:val="en-US"/>
              </w:rPr>
              <w:t>1.00</w:t>
            </w:r>
          </w:p>
        </w:tc>
      </w:tr>
      <w:tr w:rsidR="00136642" w:rsidRPr="00E85963" w:rsidTr="004D7E93">
        <w:trPr>
          <w:trHeight w:val="266"/>
        </w:trPr>
        <w:tc>
          <w:tcPr>
            <w:tcW w:w="0" w:type="auto"/>
            <w:tcBorders>
              <w:top w:val="nil"/>
              <w:bottom w:val="nil"/>
              <w:right w:val="nil"/>
            </w:tcBorders>
            <w:hideMark/>
          </w:tcPr>
          <w:p w:rsidR="00136642" w:rsidRPr="00E85963" w:rsidRDefault="00136642" w:rsidP="004D7E93">
            <w:pPr>
              <w:jc w:val="center"/>
              <w:rPr>
                <w:rFonts w:cs="Calibri"/>
                <w:color w:val="000000"/>
                <w:lang w:val="en-US"/>
              </w:rPr>
            </w:pPr>
            <w:r w:rsidRPr="00E85963">
              <w:rPr>
                <w:rFonts w:cs="Calibri"/>
                <w:color w:val="000000"/>
                <w:lang w:val="en-US"/>
              </w:rPr>
              <w:t>4-5</w:t>
            </w:r>
          </w:p>
        </w:tc>
        <w:tc>
          <w:tcPr>
            <w:tcW w:w="5244" w:type="dxa"/>
            <w:tcBorders>
              <w:top w:val="nil"/>
              <w:left w:val="nil"/>
              <w:bottom w:val="nil"/>
            </w:tcBorders>
            <w:hideMark/>
          </w:tcPr>
          <w:p w:rsidR="00136642" w:rsidRPr="00E85963" w:rsidRDefault="00136642" w:rsidP="004D7E93">
            <w:pPr>
              <w:jc w:val="center"/>
              <w:rPr>
                <w:rFonts w:cs="Calibri"/>
                <w:color w:val="000000"/>
                <w:lang w:val="en-US"/>
              </w:rPr>
            </w:pPr>
            <w:r w:rsidRPr="00E85963">
              <w:rPr>
                <w:rFonts w:cs="Calibri"/>
                <w:color w:val="000000"/>
                <w:lang w:val="en-US"/>
              </w:rPr>
              <w:t>0.50</w:t>
            </w:r>
          </w:p>
        </w:tc>
      </w:tr>
      <w:tr w:rsidR="00136642" w:rsidRPr="00E85963" w:rsidTr="004D7E93">
        <w:trPr>
          <w:trHeight w:val="270"/>
        </w:trPr>
        <w:tc>
          <w:tcPr>
            <w:tcW w:w="0" w:type="auto"/>
            <w:tcBorders>
              <w:top w:val="nil"/>
              <w:bottom w:val="nil"/>
              <w:right w:val="nil"/>
            </w:tcBorders>
            <w:hideMark/>
          </w:tcPr>
          <w:p w:rsidR="00136642" w:rsidRPr="00E85963" w:rsidRDefault="00136642" w:rsidP="004D7E93">
            <w:pPr>
              <w:jc w:val="center"/>
              <w:rPr>
                <w:rFonts w:cs="Calibri"/>
                <w:color w:val="000000"/>
                <w:lang w:val="en-US"/>
              </w:rPr>
            </w:pPr>
            <w:r w:rsidRPr="00E85963">
              <w:rPr>
                <w:rFonts w:cs="Calibri"/>
                <w:color w:val="000000"/>
                <w:lang w:val="en-US"/>
              </w:rPr>
              <w:t>6-8</w:t>
            </w:r>
          </w:p>
        </w:tc>
        <w:tc>
          <w:tcPr>
            <w:tcW w:w="5244" w:type="dxa"/>
            <w:tcBorders>
              <w:top w:val="nil"/>
              <w:left w:val="nil"/>
              <w:bottom w:val="nil"/>
            </w:tcBorders>
            <w:hideMark/>
          </w:tcPr>
          <w:p w:rsidR="00136642" w:rsidRPr="00E85963" w:rsidRDefault="00136642" w:rsidP="004D7E93">
            <w:pPr>
              <w:jc w:val="center"/>
              <w:rPr>
                <w:rFonts w:cs="Calibri"/>
                <w:color w:val="000000"/>
                <w:lang w:val="en-US"/>
              </w:rPr>
            </w:pPr>
            <w:r w:rsidRPr="00E85963">
              <w:rPr>
                <w:rFonts w:cs="Calibri"/>
                <w:color w:val="000000"/>
                <w:lang w:val="en-US"/>
              </w:rPr>
              <w:t>0.10</w:t>
            </w:r>
          </w:p>
        </w:tc>
      </w:tr>
      <w:tr w:rsidR="00136642" w:rsidRPr="00E85963" w:rsidTr="004D7E93">
        <w:trPr>
          <w:trHeight w:val="274"/>
        </w:trPr>
        <w:tc>
          <w:tcPr>
            <w:tcW w:w="0" w:type="auto"/>
            <w:tcBorders>
              <w:top w:val="nil"/>
              <w:right w:val="nil"/>
            </w:tcBorders>
            <w:hideMark/>
          </w:tcPr>
          <w:p w:rsidR="00136642" w:rsidRPr="00E85963" w:rsidRDefault="00136642" w:rsidP="004D7E93">
            <w:pPr>
              <w:jc w:val="center"/>
              <w:rPr>
                <w:rFonts w:cs="Calibri"/>
                <w:color w:val="000000"/>
                <w:lang w:val="en-US"/>
              </w:rPr>
            </w:pPr>
            <w:r w:rsidRPr="00E85963">
              <w:rPr>
                <w:rFonts w:cs="Calibri"/>
                <w:color w:val="000000"/>
                <w:lang w:val="en-US"/>
              </w:rPr>
              <w:t>9-14</w:t>
            </w:r>
          </w:p>
        </w:tc>
        <w:tc>
          <w:tcPr>
            <w:tcW w:w="5244" w:type="dxa"/>
            <w:tcBorders>
              <w:top w:val="nil"/>
              <w:left w:val="nil"/>
            </w:tcBorders>
            <w:hideMark/>
          </w:tcPr>
          <w:p w:rsidR="00136642" w:rsidRPr="00E85963" w:rsidRDefault="00136642" w:rsidP="004D7E93">
            <w:pPr>
              <w:jc w:val="center"/>
              <w:rPr>
                <w:rFonts w:cs="Calibri"/>
                <w:color w:val="000000"/>
                <w:lang w:val="en-US"/>
              </w:rPr>
            </w:pPr>
            <w:r w:rsidRPr="00E85963">
              <w:rPr>
                <w:rFonts w:cs="Calibri"/>
                <w:color w:val="000000"/>
                <w:lang w:val="en-US"/>
              </w:rPr>
              <w:t>0.02</w:t>
            </w:r>
          </w:p>
        </w:tc>
      </w:tr>
    </w:tbl>
    <w:p w:rsidR="00B04D59" w:rsidRDefault="00B04D59" w:rsidP="00B04D59">
      <w:pPr>
        <w:spacing w:after="0" w:line="360" w:lineRule="auto"/>
        <w:jc w:val="both"/>
        <w:rPr>
          <w:rFonts w:ascii="Times New Roman" w:hAnsi="Times New Roman" w:cs="Times New Roman"/>
          <w:color w:val="000000"/>
          <w:sz w:val="24"/>
          <w:szCs w:val="24"/>
          <w:lang w:val="en-US"/>
        </w:rPr>
      </w:pPr>
    </w:p>
    <w:p w:rsidR="00136642" w:rsidRPr="00143B1C" w:rsidRDefault="00B04D59" w:rsidP="00B04D59">
      <w:pPr>
        <w:spacing w:after="0" w:line="360" w:lineRule="auto"/>
        <w:jc w:val="both"/>
        <w:rPr>
          <w:rFonts w:ascii="Times New Roman" w:hAnsi="Times New Roman" w:cs="Times New Roman"/>
          <w:color w:val="000000"/>
          <w:sz w:val="24"/>
          <w:szCs w:val="24"/>
          <w:lang w:val="en-US"/>
        </w:rPr>
      </w:pPr>
      <w:r w:rsidRPr="00143B1C">
        <w:rPr>
          <w:rFonts w:ascii="Times New Roman" w:hAnsi="Times New Roman" w:cs="Times New Roman"/>
          <w:color w:val="000000"/>
          <w:sz w:val="24"/>
          <w:szCs w:val="24"/>
          <w:lang w:val="en-US"/>
        </w:rPr>
        <w:t xml:space="preserve">Finally, it was necessary to collapse some economic activities / or classes of employed persons  to gather an enough number of respondents for estimating the models. </w:t>
      </w:r>
      <w:r w:rsidR="00136642" w:rsidRPr="004D7E93">
        <w:rPr>
          <w:rFonts w:ascii="Times New Roman" w:hAnsi="Times New Roman" w:cs="Times New Roman"/>
          <w:color w:val="000000"/>
          <w:sz w:val="24"/>
          <w:szCs w:val="24"/>
          <w:lang w:val="en-US"/>
        </w:rPr>
        <w:t xml:space="preserve">On the same domains we adjusted the sampling weights with the inverse of the domain unit non response </w:t>
      </w:r>
      <w:r w:rsidR="00136642" w:rsidRPr="00143B1C">
        <w:rPr>
          <w:rFonts w:ascii="Times New Roman" w:hAnsi="Times New Roman" w:cs="Times New Roman"/>
          <w:color w:val="000000"/>
          <w:sz w:val="24"/>
          <w:szCs w:val="24"/>
          <w:lang w:val="en-US"/>
        </w:rPr>
        <w:t xml:space="preserve">rate, being the sample size of </w:t>
      </w:r>
      <w:r>
        <w:rPr>
          <w:rFonts w:ascii="Times New Roman" w:hAnsi="Times New Roman" w:cs="Times New Roman"/>
          <w:color w:val="000000"/>
          <w:sz w:val="24"/>
          <w:szCs w:val="24"/>
          <w:lang w:val="en-US"/>
        </w:rPr>
        <w:t xml:space="preserve">2011 </w:t>
      </w:r>
      <w:r w:rsidR="00136642" w:rsidRPr="00143B1C">
        <w:rPr>
          <w:rFonts w:ascii="Times New Roman" w:hAnsi="Times New Roman" w:cs="Times New Roman"/>
          <w:color w:val="000000"/>
          <w:sz w:val="24"/>
          <w:szCs w:val="24"/>
          <w:lang w:val="en-US"/>
        </w:rPr>
        <w:t>SME survey of about 97,000 enterprises.</w:t>
      </w:r>
      <w:r w:rsidR="005B3EC3">
        <w:rPr>
          <w:rFonts w:ascii="Times New Roman" w:hAnsi="Times New Roman" w:cs="Times New Roman"/>
          <w:color w:val="000000"/>
          <w:sz w:val="24"/>
          <w:szCs w:val="24"/>
          <w:lang w:val="en-US"/>
        </w:rPr>
        <w:t xml:space="preserve"> </w:t>
      </w:r>
      <w:r w:rsidR="00136642" w:rsidRPr="00143B1C">
        <w:rPr>
          <w:rFonts w:ascii="Times New Roman" w:hAnsi="Times New Roman" w:cs="Times New Roman"/>
          <w:color w:val="000000"/>
          <w:sz w:val="24"/>
          <w:szCs w:val="24"/>
          <w:lang w:val="en-US"/>
        </w:rPr>
        <w:t xml:space="preserve">We remark that the decision to use the same domains for the nonresponse adjustment and for defining the projection estimator has been obtain after some studies carried out to evaluate the best way to deal with the nonresponse. In particular, </w:t>
      </w:r>
      <w:r>
        <w:rPr>
          <w:rFonts w:ascii="Times New Roman" w:hAnsi="Times New Roman" w:cs="Times New Roman"/>
          <w:color w:val="000000"/>
          <w:sz w:val="24"/>
          <w:szCs w:val="24"/>
          <w:lang w:val="en-US"/>
        </w:rPr>
        <w:t xml:space="preserve">the </w:t>
      </w:r>
      <w:r w:rsidR="00136642" w:rsidRPr="00143B1C">
        <w:rPr>
          <w:rFonts w:ascii="Times New Roman" w:hAnsi="Times New Roman" w:cs="Times New Roman"/>
          <w:color w:val="000000"/>
          <w:sz w:val="24"/>
          <w:szCs w:val="24"/>
          <w:lang w:val="en-US"/>
        </w:rPr>
        <w:t>logistics model and different nonresponse classes for nonresponse adjustment has been compared. The results have been not significantly different from the ones achieved by the correction with nonresponse rate computed in the domains of the projection estimator. Nevertheless, the use of logistic model for estimating the response probability can be cumbersome if the process has been performed in each survey occasion.</w:t>
      </w:r>
    </w:p>
    <w:p w:rsidR="00136642" w:rsidRPr="00143B1C" w:rsidRDefault="00136642" w:rsidP="008D71FF">
      <w:pPr>
        <w:spacing w:after="0" w:line="360" w:lineRule="auto"/>
        <w:jc w:val="both"/>
        <w:rPr>
          <w:rFonts w:ascii="Times New Roman" w:hAnsi="Times New Roman" w:cs="Times New Roman"/>
          <w:color w:val="000000"/>
          <w:sz w:val="24"/>
          <w:szCs w:val="24"/>
          <w:lang w:val="en-US"/>
        </w:rPr>
      </w:pPr>
      <w:r w:rsidRPr="00143B1C">
        <w:rPr>
          <w:rFonts w:ascii="Times New Roman" w:hAnsi="Times New Roman" w:cs="Times New Roman"/>
          <w:color w:val="000000"/>
          <w:sz w:val="24"/>
          <w:szCs w:val="24"/>
          <w:lang w:val="en-US"/>
        </w:rPr>
        <w:t xml:space="preserve">The regression models assisting the </w:t>
      </w:r>
      <w:r w:rsidRPr="005B3EC3">
        <w:rPr>
          <w:rFonts w:ascii="Times New Roman" w:hAnsi="Times New Roman" w:cs="Times New Roman"/>
          <w:i/>
          <w:color w:val="000000"/>
          <w:sz w:val="24"/>
          <w:szCs w:val="24"/>
          <w:lang w:val="en-US"/>
        </w:rPr>
        <w:t>projection estimator</w:t>
      </w:r>
      <w:r w:rsidRPr="00143B1C">
        <w:rPr>
          <w:rFonts w:ascii="Times New Roman" w:hAnsi="Times New Roman" w:cs="Times New Roman"/>
          <w:color w:val="000000"/>
          <w:sz w:val="24"/>
          <w:szCs w:val="24"/>
          <w:lang w:val="en-US"/>
        </w:rPr>
        <w:t xml:space="preserve"> have been defined taking into account the space of the possible values. For all the component variables the constraint is to obtain non negative projected values, but the components of the change economic aggregates.</w:t>
      </w:r>
      <w:r w:rsidR="008D71FF">
        <w:rPr>
          <w:rFonts w:ascii="Times New Roman" w:hAnsi="Times New Roman" w:cs="Times New Roman"/>
          <w:color w:val="000000"/>
          <w:sz w:val="24"/>
          <w:szCs w:val="24"/>
          <w:lang w:val="en-US"/>
        </w:rPr>
        <w:t xml:space="preserve"> </w:t>
      </w:r>
      <w:r w:rsidRPr="00143B1C">
        <w:rPr>
          <w:rFonts w:ascii="Times New Roman" w:hAnsi="Times New Roman" w:cs="Times New Roman"/>
          <w:color w:val="000000"/>
          <w:sz w:val="24"/>
          <w:szCs w:val="24"/>
          <w:lang w:val="en-US"/>
        </w:rPr>
        <w:t xml:space="preserve">So, for the former type of variables the </w:t>
      </w:r>
      <w:proofErr w:type="spellStart"/>
      <w:r w:rsidRPr="00143B1C">
        <w:rPr>
          <w:rFonts w:ascii="Times New Roman" w:hAnsi="Times New Roman" w:cs="Times New Roman"/>
          <w:color w:val="000000"/>
          <w:sz w:val="24"/>
          <w:szCs w:val="24"/>
          <w:lang w:val="en-US"/>
        </w:rPr>
        <w:t>heteroscedastic</w:t>
      </w:r>
      <w:proofErr w:type="spellEnd"/>
      <w:r w:rsidRPr="00143B1C">
        <w:rPr>
          <w:rFonts w:ascii="Times New Roman" w:hAnsi="Times New Roman" w:cs="Times New Roman"/>
          <w:color w:val="000000"/>
          <w:sz w:val="24"/>
          <w:szCs w:val="24"/>
          <w:lang w:val="en-US"/>
        </w:rPr>
        <w:t xml:space="preserve"> ratio models have been used, where each component has as covariate </w:t>
      </w:r>
      <w:r w:rsidRPr="00143B1C">
        <w:rPr>
          <w:rFonts w:ascii="Times New Roman" w:hAnsi="Times New Roman" w:cs="Times New Roman"/>
          <w:color w:val="000000"/>
          <w:sz w:val="24"/>
          <w:szCs w:val="24"/>
          <w:lang w:val="en-US"/>
        </w:rPr>
        <w:lastRenderedPageBreak/>
        <w:t>the economic aggregate to which it belongs to. We point out that with this model the sum of the components of a given aggregate is equal to economic ag</w:t>
      </w:r>
      <w:r w:rsidR="00ED4A1C">
        <w:rPr>
          <w:rFonts w:ascii="Times New Roman" w:hAnsi="Times New Roman" w:cs="Times New Roman"/>
          <w:color w:val="000000"/>
          <w:sz w:val="24"/>
          <w:szCs w:val="24"/>
          <w:lang w:val="en-US"/>
        </w:rPr>
        <w:t xml:space="preserve">gregate at enterprises level. </w:t>
      </w:r>
      <w:r w:rsidRPr="00143B1C">
        <w:rPr>
          <w:rFonts w:ascii="Times New Roman" w:hAnsi="Times New Roman" w:cs="Times New Roman"/>
          <w:color w:val="000000"/>
          <w:sz w:val="24"/>
          <w:szCs w:val="24"/>
          <w:lang w:val="en-US"/>
        </w:rPr>
        <w:t xml:space="preserve">The regression model for the components of the change economic aggregate uses standard </w:t>
      </w:r>
      <w:proofErr w:type="spellStart"/>
      <w:r w:rsidRPr="00143B1C">
        <w:rPr>
          <w:rFonts w:ascii="Times New Roman" w:hAnsi="Times New Roman" w:cs="Times New Roman"/>
          <w:color w:val="000000"/>
          <w:sz w:val="24"/>
          <w:szCs w:val="24"/>
          <w:lang w:val="en-US"/>
        </w:rPr>
        <w:t>heteroscedatic</w:t>
      </w:r>
      <w:proofErr w:type="spellEnd"/>
      <w:r w:rsidRPr="00143B1C">
        <w:rPr>
          <w:rFonts w:ascii="Times New Roman" w:hAnsi="Times New Roman" w:cs="Times New Roman"/>
          <w:color w:val="000000"/>
          <w:sz w:val="24"/>
          <w:szCs w:val="24"/>
          <w:lang w:val="en-US"/>
        </w:rPr>
        <w:t xml:space="preserve"> model where the </w:t>
      </w:r>
      <w:proofErr w:type="spellStart"/>
      <w:r w:rsidRPr="00143B1C">
        <w:rPr>
          <w:rFonts w:ascii="Times New Roman" w:hAnsi="Times New Roman" w:cs="Times New Roman"/>
          <w:color w:val="000000"/>
          <w:sz w:val="24"/>
          <w:szCs w:val="24"/>
          <w:lang w:val="en-US"/>
        </w:rPr>
        <w:t>heroscedasticy</w:t>
      </w:r>
      <w:proofErr w:type="spellEnd"/>
      <w:r w:rsidRPr="00143B1C">
        <w:rPr>
          <w:rFonts w:ascii="Times New Roman" w:hAnsi="Times New Roman" w:cs="Times New Roman"/>
          <w:color w:val="000000"/>
          <w:sz w:val="24"/>
          <w:szCs w:val="24"/>
          <w:lang w:val="en-US"/>
        </w:rPr>
        <w:t xml:space="preserve"> terms is the square root of the number of employe</w:t>
      </w:r>
      <w:r w:rsidR="00ED4A1C">
        <w:rPr>
          <w:rFonts w:ascii="Times New Roman" w:hAnsi="Times New Roman" w:cs="Times New Roman"/>
          <w:color w:val="000000"/>
          <w:sz w:val="24"/>
          <w:szCs w:val="24"/>
          <w:lang w:val="en-US"/>
        </w:rPr>
        <w:t>es</w:t>
      </w:r>
      <w:r w:rsidRPr="00143B1C">
        <w:rPr>
          <w:rFonts w:ascii="Times New Roman" w:hAnsi="Times New Roman" w:cs="Times New Roman"/>
          <w:color w:val="000000"/>
          <w:sz w:val="24"/>
          <w:szCs w:val="24"/>
          <w:lang w:val="en-US"/>
        </w:rPr>
        <w:t>.</w:t>
      </w:r>
    </w:p>
    <w:p w:rsidR="0051237C" w:rsidRDefault="00143B1C" w:rsidP="0051237C">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Table </w:t>
      </w:r>
      <w:r w:rsidR="00F97276">
        <w:rPr>
          <w:rFonts w:ascii="Times New Roman" w:hAnsi="Times New Roman" w:cs="Times New Roman"/>
          <w:color w:val="000000"/>
          <w:sz w:val="24"/>
          <w:szCs w:val="24"/>
          <w:lang w:val="en-US"/>
        </w:rPr>
        <w:t>7</w:t>
      </w:r>
      <w:r w:rsidR="00136642" w:rsidRPr="00143B1C">
        <w:rPr>
          <w:rFonts w:ascii="Times New Roman" w:hAnsi="Times New Roman" w:cs="Times New Roman"/>
          <w:color w:val="000000"/>
          <w:sz w:val="24"/>
          <w:szCs w:val="24"/>
          <w:lang w:val="en-US"/>
        </w:rPr>
        <w:t xml:space="preserve"> shows the </w:t>
      </w:r>
      <w:r w:rsidR="00D76C92" w:rsidRPr="00143B1C">
        <w:rPr>
          <w:rFonts w:ascii="Times New Roman" w:hAnsi="Times New Roman" w:cs="Times New Roman"/>
          <w:color w:val="000000"/>
          <w:sz w:val="24"/>
          <w:szCs w:val="24"/>
          <w:lang w:val="en-US"/>
        </w:rPr>
        <w:t>coefficient</w:t>
      </w:r>
      <w:r w:rsidR="00D76C92">
        <w:rPr>
          <w:rFonts w:ascii="Times New Roman" w:hAnsi="Times New Roman" w:cs="Times New Roman"/>
          <w:color w:val="000000"/>
          <w:sz w:val="24"/>
          <w:szCs w:val="24"/>
          <w:lang w:val="en-US"/>
        </w:rPr>
        <w:t>s</w:t>
      </w:r>
      <w:r w:rsidR="00D76C92" w:rsidRPr="00143B1C">
        <w:rPr>
          <w:rFonts w:ascii="Times New Roman" w:hAnsi="Times New Roman" w:cs="Times New Roman"/>
          <w:color w:val="000000"/>
          <w:sz w:val="24"/>
          <w:szCs w:val="24"/>
          <w:lang w:val="en-US"/>
        </w:rPr>
        <w:t xml:space="preserve"> of variation (CV) </w:t>
      </w:r>
      <w:r w:rsidR="00136642" w:rsidRPr="00143B1C">
        <w:rPr>
          <w:rFonts w:ascii="Times New Roman" w:hAnsi="Times New Roman" w:cs="Times New Roman"/>
          <w:color w:val="000000"/>
          <w:sz w:val="24"/>
          <w:szCs w:val="24"/>
          <w:lang w:val="en-US"/>
        </w:rPr>
        <w:t xml:space="preserve">at national level for the components of some economic aggregates. </w:t>
      </w:r>
      <w:r w:rsidR="0051237C" w:rsidRPr="00143B1C">
        <w:rPr>
          <w:rFonts w:ascii="Times New Roman" w:hAnsi="Times New Roman" w:cs="Times New Roman"/>
          <w:color w:val="000000"/>
          <w:sz w:val="24"/>
          <w:szCs w:val="24"/>
          <w:lang w:val="en-US"/>
        </w:rPr>
        <w:t xml:space="preserve">It is worthwhile to note that the </w:t>
      </w:r>
      <w:r w:rsidR="00D76C92">
        <w:rPr>
          <w:rFonts w:ascii="Times New Roman" w:hAnsi="Times New Roman" w:cs="Times New Roman"/>
          <w:color w:val="000000"/>
          <w:sz w:val="24"/>
          <w:szCs w:val="24"/>
          <w:lang w:val="en-US"/>
        </w:rPr>
        <w:t xml:space="preserve">CV </w:t>
      </w:r>
      <w:r w:rsidR="0051237C" w:rsidRPr="00143B1C">
        <w:rPr>
          <w:rFonts w:ascii="Times New Roman" w:hAnsi="Times New Roman" w:cs="Times New Roman"/>
          <w:color w:val="000000"/>
          <w:sz w:val="24"/>
          <w:szCs w:val="24"/>
          <w:lang w:val="en-US"/>
        </w:rPr>
        <w:t xml:space="preserve">are generally extremely low. One component of the </w:t>
      </w:r>
      <w:r w:rsidR="0051237C" w:rsidRPr="00ED4A1C">
        <w:rPr>
          <w:rFonts w:ascii="Times New Roman" w:hAnsi="Times New Roman" w:cs="Times New Roman"/>
          <w:i/>
          <w:color w:val="000000"/>
          <w:sz w:val="24"/>
          <w:szCs w:val="24"/>
          <w:lang w:val="en-US"/>
        </w:rPr>
        <w:t>Turnover</w:t>
      </w:r>
      <w:r w:rsidR="0051237C" w:rsidRPr="00143B1C">
        <w:rPr>
          <w:rFonts w:ascii="Times New Roman" w:hAnsi="Times New Roman" w:cs="Times New Roman"/>
          <w:color w:val="000000"/>
          <w:sz w:val="24"/>
          <w:szCs w:val="24"/>
          <w:lang w:val="en-US"/>
        </w:rPr>
        <w:t xml:space="preserve">, the C11106 has a CV larger than 10% while for the </w:t>
      </w:r>
      <w:r w:rsidR="0051237C" w:rsidRPr="00ED4A1C">
        <w:rPr>
          <w:rFonts w:ascii="Times New Roman" w:hAnsi="Times New Roman" w:cs="Times New Roman"/>
          <w:i/>
          <w:color w:val="000000"/>
          <w:sz w:val="24"/>
          <w:szCs w:val="24"/>
          <w:lang w:val="en-US"/>
        </w:rPr>
        <w:t>Purchases of services</w:t>
      </w:r>
      <w:r w:rsidR="0051237C" w:rsidRPr="00143B1C">
        <w:rPr>
          <w:rFonts w:ascii="Times New Roman" w:hAnsi="Times New Roman" w:cs="Times New Roman"/>
          <w:color w:val="000000"/>
          <w:sz w:val="24"/>
          <w:szCs w:val="24"/>
          <w:lang w:val="en-US"/>
        </w:rPr>
        <w:t xml:space="preserve"> the component C12207 has a CV equal to 11.64%.</w:t>
      </w:r>
      <w:r w:rsidR="0051237C">
        <w:rPr>
          <w:rFonts w:ascii="Times New Roman" w:hAnsi="Times New Roman" w:cs="Times New Roman"/>
          <w:color w:val="000000"/>
          <w:sz w:val="24"/>
          <w:szCs w:val="24"/>
          <w:lang w:val="en-US"/>
        </w:rPr>
        <w:t xml:space="preserve"> </w:t>
      </w:r>
      <w:r w:rsidR="0051237C" w:rsidRPr="00143B1C">
        <w:rPr>
          <w:rFonts w:ascii="Times New Roman" w:hAnsi="Times New Roman" w:cs="Times New Roman"/>
          <w:color w:val="000000"/>
          <w:sz w:val="24"/>
          <w:szCs w:val="24"/>
          <w:lang w:val="en-US"/>
        </w:rPr>
        <w:t>The analysis of the CV at disaggregate level is more controversial. Many domains have very large CV, but they are small domains and the estimates are referred to components with many zero (rare phenomena).</w:t>
      </w:r>
      <w:r w:rsidR="0051237C">
        <w:rPr>
          <w:rFonts w:ascii="Times New Roman" w:hAnsi="Times New Roman" w:cs="Times New Roman"/>
          <w:color w:val="000000"/>
          <w:sz w:val="24"/>
          <w:szCs w:val="24"/>
          <w:lang w:val="en-US"/>
        </w:rPr>
        <w:t xml:space="preserve"> </w:t>
      </w:r>
      <w:r w:rsidR="0051237C" w:rsidRPr="00143B1C">
        <w:rPr>
          <w:rFonts w:ascii="Times New Roman" w:hAnsi="Times New Roman" w:cs="Times New Roman"/>
          <w:color w:val="000000"/>
          <w:sz w:val="24"/>
          <w:szCs w:val="24"/>
          <w:lang w:val="en-US"/>
        </w:rPr>
        <w:t>Figure 2 depicts the CV</w:t>
      </w:r>
      <w:r w:rsidR="0051237C">
        <w:rPr>
          <w:rFonts w:ascii="Times New Roman" w:hAnsi="Times New Roman" w:cs="Times New Roman"/>
          <w:color w:val="000000"/>
          <w:sz w:val="24"/>
          <w:szCs w:val="24"/>
          <w:lang w:val="en-US"/>
        </w:rPr>
        <w:t>s</w:t>
      </w:r>
      <w:r w:rsidR="0051237C" w:rsidRPr="00143B1C">
        <w:rPr>
          <w:rFonts w:ascii="Times New Roman" w:hAnsi="Times New Roman" w:cs="Times New Roman"/>
          <w:color w:val="000000"/>
          <w:sz w:val="24"/>
          <w:szCs w:val="24"/>
          <w:lang w:val="en-US"/>
        </w:rPr>
        <w:t xml:space="preserve"> distribution by domains (</w:t>
      </w:r>
      <w:r w:rsidR="0051237C">
        <w:rPr>
          <w:rFonts w:ascii="Times New Roman" w:hAnsi="Times New Roman" w:cs="Times New Roman"/>
          <w:color w:val="000000"/>
          <w:sz w:val="24"/>
          <w:szCs w:val="24"/>
          <w:lang w:val="en-US"/>
        </w:rPr>
        <w:t>3</w:t>
      </w:r>
      <w:r w:rsidR="0051237C" w:rsidRPr="00143B1C">
        <w:rPr>
          <w:rFonts w:ascii="Times New Roman" w:hAnsi="Times New Roman" w:cs="Times New Roman"/>
          <w:color w:val="000000"/>
          <w:sz w:val="24"/>
          <w:szCs w:val="24"/>
          <w:lang w:val="en-US"/>
        </w:rPr>
        <w:t xml:space="preserve"> digit</w:t>
      </w:r>
      <w:r w:rsidR="0051237C">
        <w:rPr>
          <w:rFonts w:ascii="Times New Roman" w:hAnsi="Times New Roman" w:cs="Times New Roman"/>
          <w:color w:val="000000"/>
          <w:sz w:val="24"/>
          <w:szCs w:val="24"/>
          <w:lang w:val="en-US"/>
        </w:rPr>
        <w:t>s</w:t>
      </w:r>
      <w:r w:rsidR="0051237C" w:rsidRPr="00143B1C">
        <w:rPr>
          <w:rFonts w:ascii="Times New Roman" w:hAnsi="Times New Roman" w:cs="Times New Roman"/>
          <w:color w:val="000000"/>
          <w:sz w:val="24"/>
          <w:szCs w:val="24"/>
          <w:lang w:val="en-US"/>
        </w:rPr>
        <w:t xml:space="preserve"> </w:t>
      </w:r>
      <w:proofErr w:type="spellStart"/>
      <w:r w:rsidR="0051237C" w:rsidRPr="00143B1C">
        <w:rPr>
          <w:rFonts w:ascii="Times New Roman" w:hAnsi="Times New Roman" w:cs="Times New Roman"/>
          <w:color w:val="000000"/>
          <w:sz w:val="24"/>
          <w:szCs w:val="24"/>
          <w:lang w:val="en-US"/>
        </w:rPr>
        <w:t>N</w:t>
      </w:r>
      <w:r w:rsidR="0051237C">
        <w:rPr>
          <w:rFonts w:ascii="Times New Roman" w:hAnsi="Times New Roman" w:cs="Times New Roman"/>
          <w:color w:val="000000"/>
          <w:sz w:val="24"/>
          <w:szCs w:val="24"/>
          <w:lang w:val="en-US"/>
        </w:rPr>
        <w:t>ace</w:t>
      </w:r>
      <w:proofErr w:type="spellEnd"/>
      <w:r w:rsidR="0051237C" w:rsidRPr="00143B1C">
        <w:rPr>
          <w:rFonts w:ascii="Times New Roman" w:hAnsi="Times New Roman" w:cs="Times New Roman"/>
          <w:color w:val="000000"/>
          <w:sz w:val="24"/>
          <w:szCs w:val="24"/>
          <w:lang w:val="en-US"/>
        </w:rPr>
        <w:t xml:space="preserve"> Rev.2 by size class) and components. In particular the first</w:t>
      </w:r>
      <w:r w:rsidR="0051237C">
        <w:rPr>
          <w:rFonts w:ascii="Times New Roman" w:hAnsi="Times New Roman" w:cs="Times New Roman"/>
          <w:color w:val="000000"/>
          <w:sz w:val="24"/>
          <w:szCs w:val="24"/>
          <w:lang w:val="en-US"/>
        </w:rPr>
        <w:t>,</w:t>
      </w:r>
      <w:r w:rsidR="0051237C" w:rsidRPr="00143B1C">
        <w:rPr>
          <w:rFonts w:ascii="Times New Roman" w:hAnsi="Times New Roman" w:cs="Times New Roman"/>
          <w:color w:val="000000"/>
          <w:sz w:val="24"/>
          <w:szCs w:val="24"/>
          <w:lang w:val="en-US"/>
        </w:rPr>
        <w:t xml:space="preserve"> second and third quartile</w:t>
      </w:r>
      <w:r w:rsidR="0051237C">
        <w:rPr>
          <w:rFonts w:ascii="Times New Roman" w:hAnsi="Times New Roman" w:cs="Times New Roman"/>
          <w:color w:val="000000"/>
          <w:sz w:val="24"/>
          <w:szCs w:val="24"/>
          <w:lang w:val="en-US"/>
        </w:rPr>
        <w:t>s</w:t>
      </w:r>
      <w:r w:rsidR="0051237C" w:rsidRPr="00143B1C">
        <w:rPr>
          <w:rFonts w:ascii="Times New Roman" w:hAnsi="Times New Roman" w:cs="Times New Roman"/>
          <w:color w:val="000000"/>
          <w:sz w:val="24"/>
          <w:szCs w:val="24"/>
          <w:lang w:val="en-US"/>
        </w:rPr>
        <w:t xml:space="preserve"> of the CV distribution are shown.</w:t>
      </w:r>
    </w:p>
    <w:p w:rsidR="00136642" w:rsidRPr="00143B1C" w:rsidRDefault="00136642" w:rsidP="00A831A1">
      <w:pPr>
        <w:spacing w:before="240" w:after="120" w:line="240" w:lineRule="auto"/>
        <w:jc w:val="both"/>
        <w:rPr>
          <w:rFonts w:ascii="Times New Roman" w:hAnsi="Times New Roman" w:cs="Times New Roman"/>
          <w:i/>
          <w:color w:val="000000"/>
          <w:sz w:val="24"/>
          <w:szCs w:val="24"/>
          <w:lang w:val="en-US"/>
        </w:rPr>
      </w:pPr>
      <w:r w:rsidRPr="00143B1C">
        <w:rPr>
          <w:rFonts w:ascii="Times New Roman" w:hAnsi="Times New Roman" w:cs="Times New Roman"/>
          <w:i/>
          <w:color w:val="000000"/>
          <w:sz w:val="24"/>
          <w:szCs w:val="24"/>
          <w:lang w:val="en-US"/>
        </w:rPr>
        <w:t xml:space="preserve">Table </w:t>
      </w:r>
      <w:r w:rsidR="00F97276">
        <w:rPr>
          <w:rFonts w:ascii="Times New Roman" w:hAnsi="Times New Roman" w:cs="Times New Roman"/>
          <w:i/>
          <w:color w:val="000000"/>
          <w:sz w:val="24"/>
          <w:szCs w:val="24"/>
          <w:lang w:val="en-US"/>
        </w:rPr>
        <w:t>7</w:t>
      </w:r>
      <w:r w:rsidRPr="00143B1C">
        <w:rPr>
          <w:rFonts w:ascii="Times New Roman" w:hAnsi="Times New Roman" w:cs="Times New Roman"/>
          <w:i/>
          <w:color w:val="000000"/>
          <w:sz w:val="24"/>
          <w:szCs w:val="24"/>
          <w:lang w:val="en-US"/>
        </w:rPr>
        <w:t xml:space="preserve"> </w:t>
      </w:r>
      <w:r w:rsidR="00B04D59">
        <w:rPr>
          <w:rFonts w:ascii="Times New Roman" w:hAnsi="Times New Roman" w:cs="Times New Roman"/>
          <w:i/>
          <w:color w:val="000000"/>
          <w:sz w:val="24"/>
          <w:szCs w:val="24"/>
          <w:lang w:val="en-US"/>
        </w:rPr>
        <w:t>CV</w:t>
      </w:r>
      <w:r w:rsidRPr="00143B1C">
        <w:rPr>
          <w:rFonts w:ascii="Times New Roman" w:hAnsi="Times New Roman" w:cs="Times New Roman"/>
          <w:i/>
          <w:color w:val="000000"/>
          <w:sz w:val="24"/>
          <w:szCs w:val="24"/>
          <w:lang w:val="en-US"/>
        </w:rPr>
        <w:t xml:space="preserve"> (%) of the components (label of the SME survey) of some </w:t>
      </w:r>
      <w:r w:rsidR="00B04D59">
        <w:rPr>
          <w:rFonts w:ascii="Times New Roman" w:hAnsi="Times New Roman" w:cs="Times New Roman"/>
          <w:i/>
          <w:color w:val="000000"/>
          <w:sz w:val="24"/>
          <w:szCs w:val="24"/>
          <w:lang w:val="en-US"/>
        </w:rPr>
        <w:t xml:space="preserve">main </w:t>
      </w:r>
      <w:r w:rsidRPr="00143B1C">
        <w:rPr>
          <w:rFonts w:ascii="Times New Roman" w:hAnsi="Times New Roman" w:cs="Times New Roman"/>
          <w:i/>
          <w:color w:val="000000"/>
          <w:sz w:val="24"/>
          <w:szCs w:val="24"/>
          <w:lang w:val="en-US"/>
        </w:rPr>
        <w:t>economic aggregate</w:t>
      </w:r>
      <w:r w:rsidR="00B04D59">
        <w:rPr>
          <w:rFonts w:ascii="Times New Roman" w:hAnsi="Times New Roman" w:cs="Times New Roman"/>
          <w:i/>
          <w:color w:val="000000"/>
          <w:sz w:val="24"/>
          <w:szCs w:val="24"/>
          <w:lang w:val="en-US"/>
        </w:rPr>
        <w:t>s</w:t>
      </w:r>
    </w:p>
    <w:tbl>
      <w:tblPr>
        <w:tblStyle w:val="Grigliatabella"/>
        <w:tblW w:w="444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1347"/>
        <w:gridCol w:w="608"/>
        <w:gridCol w:w="282"/>
        <w:gridCol w:w="567"/>
        <w:gridCol w:w="331"/>
        <w:gridCol w:w="518"/>
        <w:gridCol w:w="375"/>
        <w:gridCol w:w="475"/>
        <w:gridCol w:w="417"/>
        <w:gridCol w:w="433"/>
        <w:gridCol w:w="459"/>
        <w:gridCol w:w="391"/>
        <w:gridCol w:w="501"/>
        <w:gridCol w:w="350"/>
        <w:gridCol w:w="541"/>
        <w:gridCol w:w="310"/>
        <w:gridCol w:w="569"/>
        <w:gridCol w:w="282"/>
      </w:tblGrid>
      <w:tr w:rsidR="00136642" w:rsidRPr="00E85963" w:rsidTr="00A831A1">
        <w:trPr>
          <w:trHeight w:val="445"/>
        </w:trPr>
        <w:tc>
          <w:tcPr>
            <w:tcW w:w="1116" w:type="pct"/>
            <w:gridSpan w:val="2"/>
            <w:tcBorders>
              <w:top w:val="single" w:sz="4" w:space="0" w:color="auto"/>
              <w:left w:val="nil"/>
              <w:bottom w:val="nil"/>
              <w:right w:val="nil"/>
            </w:tcBorders>
            <w:hideMark/>
          </w:tcPr>
          <w:p w:rsidR="00136642" w:rsidRPr="00ED4A1C" w:rsidRDefault="00136642" w:rsidP="00ED4A1C">
            <w:pPr>
              <w:rPr>
                <w:rFonts w:cs="Calibri"/>
                <w:i/>
                <w:color w:val="000000"/>
                <w:lang w:val="en-US"/>
              </w:rPr>
            </w:pPr>
            <w:r w:rsidRPr="00ED4A1C">
              <w:rPr>
                <w:rFonts w:cs="Calibri"/>
                <w:i/>
                <w:color w:val="000000"/>
                <w:lang w:val="en-US"/>
              </w:rPr>
              <w:t>Income from sales and Services (Turnover)</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C11101</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C11102</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C11103</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C11104</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C11105</w:t>
            </w:r>
          </w:p>
        </w:tc>
        <w:tc>
          <w:tcPr>
            <w:tcW w:w="486"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C11106</w:t>
            </w:r>
          </w:p>
        </w:tc>
        <w:tc>
          <w:tcPr>
            <w:tcW w:w="486"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C11107</w:t>
            </w:r>
          </w:p>
        </w:tc>
        <w:tc>
          <w:tcPr>
            <w:tcW w:w="486"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r>
      <w:tr w:rsidR="00136642" w:rsidRPr="00E85963" w:rsidTr="00A831A1">
        <w:trPr>
          <w:trHeight w:val="445"/>
        </w:trPr>
        <w:tc>
          <w:tcPr>
            <w:tcW w:w="1116" w:type="pct"/>
            <w:gridSpan w:val="2"/>
            <w:tcBorders>
              <w:top w:val="nil"/>
              <w:left w:val="nil"/>
              <w:bottom w:val="single" w:sz="4" w:space="0" w:color="auto"/>
              <w:right w:val="nil"/>
            </w:tcBorders>
            <w:hideMark/>
          </w:tcPr>
          <w:p w:rsidR="00136642" w:rsidRPr="00E85963" w:rsidRDefault="00136642" w:rsidP="00ED4A1C">
            <w:pPr>
              <w:rPr>
                <w:rFonts w:cs="Calibri"/>
                <w:color w:val="000000"/>
                <w:lang w:val="en-US"/>
              </w:rPr>
            </w:pPr>
            <w:r w:rsidRPr="00E85963">
              <w:rPr>
                <w:rFonts w:cs="Calibri"/>
                <w:color w:val="000000"/>
                <w:lang w:val="en-US"/>
              </w:rPr>
              <w:t>CV</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1.67%</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1.05%</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7.22%</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9.81%</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6.75%</w:t>
            </w:r>
          </w:p>
        </w:tc>
        <w:tc>
          <w:tcPr>
            <w:tcW w:w="486"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13.62%</w:t>
            </w:r>
          </w:p>
        </w:tc>
        <w:tc>
          <w:tcPr>
            <w:tcW w:w="486"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1.69%</w:t>
            </w:r>
          </w:p>
        </w:tc>
        <w:tc>
          <w:tcPr>
            <w:tcW w:w="486"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r>
      <w:tr w:rsidR="00136642" w:rsidRPr="00E85963" w:rsidTr="00A831A1">
        <w:trPr>
          <w:trHeight w:val="445"/>
        </w:trPr>
        <w:tc>
          <w:tcPr>
            <w:tcW w:w="1116" w:type="pct"/>
            <w:gridSpan w:val="2"/>
            <w:tcBorders>
              <w:top w:val="single" w:sz="4" w:space="0" w:color="auto"/>
              <w:left w:val="nil"/>
              <w:bottom w:val="nil"/>
              <w:right w:val="nil"/>
            </w:tcBorders>
            <w:hideMark/>
          </w:tcPr>
          <w:p w:rsidR="00136642" w:rsidRPr="00ED4A1C" w:rsidRDefault="00136642" w:rsidP="00ED4A1C">
            <w:pPr>
              <w:rPr>
                <w:rFonts w:cs="Calibri"/>
                <w:i/>
                <w:color w:val="000000"/>
                <w:lang w:val="en-US"/>
              </w:rPr>
            </w:pPr>
            <w:r w:rsidRPr="00ED4A1C">
              <w:rPr>
                <w:rFonts w:cs="Calibri"/>
                <w:i/>
                <w:color w:val="000000"/>
                <w:lang w:val="en-US"/>
              </w:rPr>
              <w:t>Purchases of goods</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C12101</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C12102</w:t>
            </w:r>
          </w:p>
        </w:tc>
        <w:tc>
          <w:tcPr>
            <w:tcW w:w="485"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C12103</w:t>
            </w:r>
          </w:p>
        </w:tc>
        <w:tc>
          <w:tcPr>
            <w:tcW w:w="485"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485"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486"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486"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486"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r>
      <w:tr w:rsidR="00136642" w:rsidRPr="00E85963" w:rsidTr="00A831A1">
        <w:trPr>
          <w:trHeight w:val="445"/>
        </w:trPr>
        <w:tc>
          <w:tcPr>
            <w:tcW w:w="1116" w:type="pct"/>
            <w:gridSpan w:val="2"/>
            <w:tcBorders>
              <w:top w:val="nil"/>
              <w:left w:val="nil"/>
              <w:bottom w:val="single" w:sz="4" w:space="0" w:color="auto"/>
              <w:right w:val="nil"/>
            </w:tcBorders>
            <w:hideMark/>
          </w:tcPr>
          <w:p w:rsidR="00136642" w:rsidRPr="00E85963" w:rsidRDefault="00136642" w:rsidP="00ED4A1C">
            <w:pPr>
              <w:rPr>
                <w:rFonts w:cs="Calibri"/>
                <w:color w:val="000000"/>
                <w:lang w:val="en-US"/>
              </w:rPr>
            </w:pP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1.81%</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9.36%</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1.10%</w:t>
            </w: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485"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486"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486"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486"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r>
      <w:tr w:rsidR="00136642" w:rsidRPr="00E85963" w:rsidTr="00A831A1">
        <w:trPr>
          <w:trHeight w:val="445"/>
        </w:trPr>
        <w:tc>
          <w:tcPr>
            <w:tcW w:w="1116" w:type="pct"/>
            <w:gridSpan w:val="2"/>
            <w:tcBorders>
              <w:top w:val="single" w:sz="4" w:space="0" w:color="auto"/>
              <w:left w:val="nil"/>
              <w:bottom w:val="nil"/>
              <w:right w:val="nil"/>
            </w:tcBorders>
            <w:hideMark/>
          </w:tcPr>
          <w:p w:rsidR="00136642" w:rsidRPr="00A831A1" w:rsidRDefault="00136642" w:rsidP="00A831A1">
            <w:pPr>
              <w:rPr>
                <w:rFonts w:cs="Calibri"/>
                <w:color w:val="FF0000"/>
                <w:lang w:val="en-US"/>
              </w:rPr>
            </w:pPr>
            <w:r w:rsidRPr="00A831A1">
              <w:rPr>
                <w:rFonts w:cs="Calibri"/>
                <w:i/>
                <w:color w:val="000000"/>
                <w:lang w:val="en-US"/>
              </w:rPr>
              <w:t>Purchases of services</w:t>
            </w:r>
            <w:r w:rsidR="00ED4A1C" w:rsidRPr="00A831A1">
              <w:rPr>
                <w:rFonts w:cs="Calibri"/>
                <w:i/>
                <w:color w:val="000000"/>
                <w:lang w:val="en-US"/>
              </w:rPr>
              <w:t xml:space="preserve"> </w:t>
            </w:r>
            <w:r w:rsidR="00787468" w:rsidRPr="00A831A1">
              <w:rPr>
                <w:rFonts w:cs="Calibri"/>
                <w:i/>
                <w:color w:val="000000"/>
                <w:lang w:val="en-US"/>
              </w:rPr>
              <w:t>(1)</w:t>
            </w:r>
            <w:r w:rsidR="00787468" w:rsidRPr="00A831A1">
              <w:rPr>
                <w:rFonts w:cs="Calibri"/>
                <w:i/>
                <w:color w:val="FF0000"/>
                <w:lang w:val="en-US"/>
              </w:rPr>
              <w:t xml:space="preserve"> </w:t>
            </w:r>
          </w:p>
        </w:tc>
        <w:tc>
          <w:tcPr>
            <w:tcW w:w="485" w:type="pct"/>
            <w:gridSpan w:val="2"/>
            <w:tcBorders>
              <w:top w:val="single" w:sz="4" w:space="0" w:color="auto"/>
              <w:left w:val="nil"/>
              <w:bottom w:val="nil"/>
              <w:right w:val="nil"/>
            </w:tcBorders>
            <w:hideMark/>
          </w:tcPr>
          <w:p w:rsidR="00136642" w:rsidRPr="00ED4A1C" w:rsidRDefault="00136642" w:rsidP="00ED4A1C">
            <w:pPr>
              <w:ind w:left="-112"/>
              <w:jc w:val="both"/>
              <w:rPr>
                <w:rFonts w:cs="Calibri"/>
                <w:b/>
                <w:color w:val="000000"/>
                <w:sz w:val="18"/>
                <w:szCs w:val="18"/>
                <w:lang w:val="en-US"/>
              </w:rPr>
            </w:pPr>
            <w:r w:rsidRPr="00ED4A1C">
              <w:rPr>
                <w:rFonts w:cs="Calibri"/>
                <w:b/>
                <w:color w:val="000000"/>
                <w:sz w:val="18"/>
                <w:szCs w:val="18"/>
                <w:lang w:val="en-US"/>
              </w:rPr>
              <w:t>C12201</w:t>
            </w:r>
          </w:p>
        </w:tc>
        <w:tc>
          <w:tcPr>
            <w:tcW w:w="485" w:type="pct"/>
            <w:gridSpan w:val="2"/>
            <w:tcBorders>
              <w:top w:val="single" w:sz="4" w:space="0" w:color="auto"/>
              <w:left w:val="nil"/>
              <w:bottom w:val="nil"/>
              <w:right w:val="nil"/>
            </w:tcBorders>
            <w:hideMark/>
          </w:tcPr>
          <w:p w:rsidR="00136642" w:rsidRPr="00ED4A1C" w:rsidRDefault="00136642" w:rsidP="00ED4A1C">
            <w:pPr>
              <w:ind w:left="-110"/>
              <w:jc w:val="both"/>
              <w:rPr>
                <w:rFonts w:cs="Calibri"/>
                <w:b/>
                <w:color w:val="000000"/>
                <w:sz w:val="18"/>
                <w:szCs w:val="18"/>
                <w:lang w:val="en-US"/>
              </w:rPr>
            </w:pPr>
            <w:r w:rsidRPr="00ED4A1C">
              <w:rPr>
                <w:rFonts w:cs="Calibri"/>
                <w:b/>
                <w:color w:val="000000"/>
                <w:sz w:val="18"/>
                <w:szCs w:val="18"/>
                <w:lang w:val="en-US"/>
              </w:rPr>
              <w:t>C12202</w:t>
            </w:r>
          </w:p>
        </w:tc>
        <w:tc>
          <w:tcPr>
            <w:tcW w:w="485" w:type="pct"/>
            <w:gridSpan w:val="2"/>
            <w:tcBorders>
              <w:top w:val="single" w:sz="4" w:space="0" w:color="auto"/>
              <w:left w:val="nil"/>
              <w:bottom w:val="nil"/>
              <w:right w:val="nil"/>
            </w:tcBorders>
            <w:hideMark/>
          </w:tcPr>
          <w:p w:rsidR="00136642" w:rsidRPr="00ED4A1C" w:rsidRDefault="00136642" w:rsidP="00ED4A1C">
            <w:pPr>
              <w:ind w:left="-109"/>
              <w:jc w:val="both"/>
              <w:rPr>
                <w:rFonts w:cs="Calibri"/>
                <w:b/>
                <w:color w:val="000000"/>
                <w:sz w:val="18"/>
                <w:szCs w:val="18"/>
                <w:lang w:val="en-US"/>
              </w:rPr>
            </w:pPr>
            <w:r w:rsidRPr="00ED4A1C">
              <w:rPr>
                <w:rFonts w:cs="Calibri"/>
                <w:b/>
                <w:color w:val="000000"/>
                <w:sz w:val="18"/>
                <w:szCs w:val="18"/>
                <w:lang w:val="en-US"/>
              </w:rPr>
              <w:t>C12203</w:t>
            </w:r>
          </w:p>
        </w:tc>
        <w:tc>
          <w:tcPr>
            <w:tcW w:w="485" w:type="pct"/>
            <w:gridSpan w:val="2"/>
            <w:tcBorders>
              <w:top w:val="single" w:sz="4" w:space="0" w:color="auto"/>
              <w:left w:val="nil"/>
              <w:bottom w:val="nil"/>
              <w:right w:val="nil"/>
            </w:tcBorders>
            <w:hideMark/>
          </w:tcPr>
          <w:p w:rsidR="00136642" w:rsidRPr="00ED4A1C" w:rsidRDefault="00136642" w:rsidP="00ED4A1C">
            <w:pPr>
              <w:ind w:left="-108"/>
              <w:jc w:val="both"/>
              <w:rPr>
                <w:rFonts w:cs="Calibri"/>
                <w:b/>
                <w:color w:val="000000"/>
                <w:sz w:val="18"/>
                <w:szCs w:val="18"/>
                <w:lang w:val="en-US"/>
              </w:rPr>
            </w:pPr>
            <w:r w:rsidRPr="00ED4A1C">
              <w:rPr>
                <w:rFonts w:cs="Calibri"/>
                <w:b/>
                <w:color w:val="000000"/>
                <w:sz w:val="18"/>
                <w:szCs w:val="18"/>
                <w:lang w:val="en-US"/>
              </w:rPr>
              <w:t>C12205</w:t>
            </w:r>
          </w:p>
        </w:tc>
        <w:tc>
          <w:tcPr>
            <w:tcW w:w="485" w:type="pct"/>
            <w:gridSpan w:val="2"/>
            <w:tcBorders>
              <w:top w:val="single" w:sz="4" w:space="0" w:color="auto"/>
              <w:left w:val="nil"/>
              <w:bottom w:val="nil"/>
              <w:right w:val="nil"/>
            </w:tcBorders>
            <w:hideMark/>
          </w:tcPr>
          <w:p w:rsidR="00136642" w:rsidRPr="00ED4A1C" w:rsidRDefault="00136642" w:rsidP="00ED4A1C">
            <w:pPr>
              <w:ind w:left="-108"/>
              <w:jc w:val="both"/>
              <w:rPr>
                <w:rFonts w:cs="Calibri"/>
                <w:b/>
                <w:color w:val="000000"/>
                <w:sz w:val="18"/>
                <w:szCs w:val="18"/>
                <w:lang w:val="en-US"/>
              </w:rPr>
            </w:pPr>
            <w:r w:rsidRPr="00ED4A1C">
              <w:rPr>
                <w:rFonts w:cs="Calibri"/>
                <w:b/>
                <w:color w:val="000000"/>
                <w:sz w:val="18"/>
                <w:szCs w:val="18"/>
                <w:lang w:val="en-US"/>
              </w:rPr>
              <w:t>C12206</w:t>
            </w:r>
          </w:p>
        </w:tc>
        <w:tc>
          <w:tcPr>
            <w:tcW w:w="486" w:type="pct"/>
            <w:gridSpan w:val="2"/>
            <w:tcBorders>
              <w:top w:val="single" w:sz="4" w:space="0" w:color="auto"/>
              <w:left w:val="nil"/>
              <w:bottom w:val="nil"/>
              <w:right w:val="nil"/>
            </w:tcBorders>
            <w:hideMark/>
          </w:tcPr>
          <w:p w:rsidR="00136642" w:rsidRPr="00ED4A1C" w:rsidRDefault="00136642" w:rsidP="00ED4A1C">
            <w:pPr>
              <w:ind w:left="-107"/>
              <w:jc w:val="both"/>
              <w:rPr>
                <w:rFonts w:cs="Calibri"/>
                <w:b/>
                <w:color w:val="000000"/>
                <w:sz w:val="18"/>
                <w:szCs w:val="18"/>
                <w:lang w:val="en-US"/>
              </w:rPr>
            </w:pPr>
            <w:r w:rsidRPr="00ED4A1C">
              <w:rPr>
                <w:rFonts w:cs="Calibri"/>
                <w:b/>
                <w:color w:val="000000"/>
                <w:sz w:val="18"/>
                <w:szCs w:val="18"/>
                <w:lang w:val="en-US"/>
              </w:rPr>
              <w:t>C12207</w:t>
            </w:r>
          </w:p>
        </w:tc>
        <w:tc>
          <w:tcPr>
            <w:tcW w:w="486" w:type="pct"/>
            <w:gridSpan w:val="2"/>
            <w:tcBorders>
              <w:top w:val="single" w:sz="4" w:space="0" w:color="auto"/>
              <w:left w:val="nil"/>
              <w:bottom w:val="nil"/>
              <w:right w:val="nil"/>
            </w:tcBorders>
            <w:hideMark/>
          </w:tcPr>
          <w:p w:rsidR="00136642" w:rsidRPr="00ED4A1C" w:rsidRDefault="00136642" w:rsidP="00ED4A1C">
            <w:pPr>
              <w:ind w:left="-108"/>
              <w:jc w:val="both"/>
              <w:rPr>
                <w:rFonts w:cs="Calibri"/>
                <w:b/>
                <w:color w:val="000000"/>
                <w:sz w:val="18"/>
                <w:szCs w:val="18"/>
                <w:lang w:val="en-US"/>
              </w:rPr>
            </w:pPr>
            <w:r w:rsidRPr="00ED4A1C">
              <w:rPr>
                <w:rFonts w:cs="Calibri"/>
                <w:b/>
                <w:color w:val="000000"/>
                <w:sz w:val="18"/>
                <w:szCs w:val="18"/>
                <w:lang w:val="en-US"/>
              </w:rPr>
              <w:t>C12208</w:t>
            </w:r>
          </w:p>
        </w:tc>
        <w:tc>
          <w:tcPr>
            <w:tcW w:w="486" w:type="pct"/>
            <w:gridSpan w:val="2"/>
            <w:tcBorders>
              <w:top w:val="single" w:sz="4" w:space="0" w:color="auto"/>
              <w:left w:val="nil"/>
              <w:bottom w:val="nil"/>
              <w:right w:val="nil"/>
            </w:tcBorders>
            <w:hideMark/>
          </w:tcPr>
          <w:p w:rsidR="00136642" w:rsidRPr="00ED4A1C" w:rsidRDefault="00136642" w:rsidP="00ED4A1C">
            <w:pPr>
              <w:ind w:left="-108"/>
              <w:jc w:val="both"/>
              <w:rPr>
                <w:rFonts w:cs="Calibri"/>
                <w:b/>
                <w:color w:val="000000"/>
                <w:sz w:val="18"/>
                <w:szCs w:val="18"/>
                <w:lang w:val="en-US"/>
              </w:rPr>
            </w:pPr>
            <w:r w:rsidRPr="00ED4A1C">
              <w:rPr>
                <w:rFonts w:cs="Calibri"/>
                <w:b/>
                <w:color w:val="000000"/>
                <w:sz w:val="18"/>
                <w:szCs w:val="18"/>
                <w:lang w:val="en-US"/>
              </w:rPr>
              <w:t>C12209</w:t>
            </w:r>
          </w:p>
        </w:tc>
      </w:tr>
      <w:tr w:rsidR="00136642" w:rsidRPr="00E85963" w:rsidTr="00A831A1">
        <w:trPr>
          <w:gridAfter w:val="1"/>
          <w:wAfter w:w="161" w:type="pct"/>
          <w:trHeight w:val="445"/>
        </w:trPr>
        <w:tc>
          <w:tcPr>
            <w:tcW w:w="769" w:type="pct"/>
            <w:tcBorders>
              <w:bottom w:val="single" w:sz="4" w:space="0" w:color="auto"/>
            </w:tcBorders>
            <w:hideMark/>
          </w:tcPr>
          <w:p w:rsidR="00136642" w:rsidRPr="00E85963" w:rsidRDefault="00136642" w:rsidP="00ED4A1C">
            <w:pPr>
              <w:rPr>
                <w:rFonts w:cs="Calibri"/>
                <w:color w:val="000000"/>
                <w:lang w:val="en-US"/>
              </w:rPr>
            </w:pPr>
            <w:r w:rsidRPr="00E85963">
              <w:rPr>
                <w:rFonts w:cs="Calibri"/>
                <w:color w:val="000000"/>
                <w:lang w:val="en-US"/>
              </w:rPr>
              <w:t>CV</w:t>
            </w:r>
          </w:p>
        </w:tc>
        <w:tc>
          <w:tcPr>
            <w:tcW w:w="508"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3.</w:t>
            </w:r>
            <w:r>
              <w:rPr>
                <w:rFonts w:cs="Calibri"/>
                <w:color w:val="000000"/>
                <w:sz w:val="18"/>
                <w:szCs w:val="18"/>
                <w:lang w:val="en-US"/>
              </w:rPr>
              <w:t>7</w:t>
            </w:r>
            <w:r w:rsidR="00136642" w:rsidRPr="0034733F">
              <w:rPr>
                <w:rFonts w:cs="Calibri"/>
                <w:color w:val="000000"/>
                <w:sz w:val="18"/>
                <w:szCs w:val="18"/>
                <w:lang w:val="en-US"/>
              </w:rPr>
              <w:t>%</w:t>
            </w:r>
          </w:p>
        </w:tc>
        <w:tc>
          <w:tcPr>
            <w:tcW w:w="513"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4.7%</w:t>
            </w:r>
          </w:p>
        </w:tc>
        <w:tc>
          <w:tcPr>
            <w:tcW w:w="510"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5.7%</w:t>
            </w:r>
          </w:p>
        </w:tc>
        <w:tc>
          <w:tcPr>
            <w:tcW w:w="509"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5.</w:t>
            </w:r>
            <w:r>
              <w:rPr>
                <w:rFonts w:cs="Calibri"/>
                <w:color w:val="000000"/>
                <w:sz w:val="18"/>
                <w:szCs w:val="18"/>
                <w:lang w:val="en-US"/>
              </w:rPr>
              <w:t>3</w:t>
            </w:r>
            <w:r w:rsidR="00136642" w:rsidRPr="0034733F">
              <w:rPr>
                <w:rFonts w:cs="Calibri"/>
                <w:color w:val="000000"/>
                <w:sz w:val="18"/>
                <w:szCs w:val="18"/>
                <w:lang w:val="en-US"/>
              </w:rPr>
              <w:t>%</w:t>
            </w:r>
          </w:p>
        </w:tc>
        <w:tc>
          <w:tcPr>
            <w:tcW w:w="509"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5.</w:t>
            </w:r>
            <w:r>
              <w:rPr>
                <w:rFonts w:cs="Calibri"/>
                <w:color w:val="000000"/>
                <w:sz w:val="18"/>
                <w:szCs w:val="18"/>
                <w:lang w:val="en-US"/>
              </w:rPr>
              <w:t>1</w:t>
            </w:r>
            <w:r w:rsidR="00136642" w:rsidRPr="0034733F">
              <w:rPr>
                <w:rFonts w:cs="Calibri"/>
                <w:color w:val="000000"/>
                <w:sz w:val="18"/>
                <w:szCs w:val="18"/>
                <w:lang w:val="en-US"/>
              </w:rPr>
              <w:t>%</w:t>
            </w:r>
          </w:p>
        </w:tc>
        <w:tc>
          <w:tcPr>
            <w:tcW w:w="509"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11.6%</w:t>
            </w:r>
          </w:p>
        </w:tc>
        <w:tc>
          <w:tcPr>
            <w:tcW w:w="509"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3.</w:t>
            </w:r>
            <w:r>
              <w:rPr>
                <w:rFonts w:cs="Calibri"/>
                <w:color w:val="000000"/>
                <w:sz w:val="18"/>
                <w:szCs w:val="18"/>
                <w:lang w:val="en-US"/>
              </w:rPr>
              <w:t>5</w:t>
            </w:r>
            <w:r w:rsidR="00136642" w:rsidRPr="0034733F">
              <w:rPr>
                <w:rFonts w:cs="Calibri"/>
                <w:color w:val="000000"/>
                <w:sz w:val="18"/>
                <w:szCs w:val="18"/>
                <w:lang w:val="en-US"/>
              </w:rPr>
              <w:t>%</w:t>
            </w:r>
          </w:p>
        </w:tc>
        <w:tc>
          <w:tcPr>
            <w:tcW w:w="502" w:type="pct"/>
            <w:gridSpan w:val="2"/>
            <w:tcBorders>
              <w:bottom w:val="single" w:sz="4" w:space="0" w:color="auto"/>
            </w:tcBorders>
            <w:hideMark/>
          </w:tcPr>
          <w:p w:rsidR="00136642" w:rsidRPr="0034733F" w:rsidRDefault="00ED4A1C" w:rsidP="00ED4A1C">
            <w:pPr>
              <w:jc w:val="center"/>
              <w:rPr>
                <w:rFonts w:cs="Calibri"/>
                <w:color w:val="000000"/>
                <w:sz w:val="18"/>
                <w:szCs w:val="18"/>
                <w:lang w:val="en-US"/>
              </w:rPr>
            </w:pPr>
            <w:r>
              <w:rPr>
                <w:rFonts w:cs="Calibri"/>
                <w:color w:val="000000"/>
                <w:sz w:val="18"/>
                <w:szCs w:val="18"/>
                <w:lang w:val="en-US"/>
              </w:rPr>
              <w:t xml:space="preserve">       </w:t>
            </w:r>
            <w:r w:rsidR="00136642" w:rsidRPr="0034733F">
              <w:rPr>
                <w:rFonts w:cs="Calibri"/>
                <w:color w:val="000000"/>
                <w:sz w:val="18"/>
                <w:szCs w:val="18"/>
                <w:lang w:val="en-US"/>
              </w:rPr>
              <w:t>6.</w:t>
            </w:r>
            <w:r>
              <w:rPr>
                <w:rFonts w:cs="Calibri"/>
                <w:color w:val="000000"/>
                <w:sz w:val="18"/>
                <w:szCs w:val="18"/>
                <w:lang w:val="en-US"/>
              </w:rPr>
              <w:t>1</w:t>
            </w:r>
            <w:r w:rsidR="00136642" w:rsidRPr="0034733F">
              <w:rPr>
                <w:rFonts w:cs="Calibri"/>
                <w:color w:val="000000"/>
                <w:sz w:val="18"/>
                <w:szCs w:val="18"/>
                <w:lang w:val="en-US"/>
              </w:rPr>
              <w:t>%</w:t>
            </w:r>
          </w:p>
        </w:tc>
      </w:tr>
      <w:tr w:rsidR="00136642" w:rsidRPr="00E85963" w:rsidTr="00A831A1">
        <w:trPr>
          <w:gridAfter w:val="1"/>
          <w:wAfter w:w="161" w:type="pct"/>
          <w:trHeight w:val="445"/>
        </w:trPr>
        <w:tc>
          <w:tcPr>
            <w:tcW w:w="769" w:type="pct"/>
            <w:tcBorders>
              <w:top w:val="single" w:sz="4" w:space="0" w:color="auto"/>
            </w:tcBorders>
            <w:hideMark/>
          </w:tcPr>
          <w:p w:rsidR="00136642" w:rsidRPr="00E85963" w:rsidRDefault="00136642" w:rsidP="00A831A1">
            <w:pPr>
              <w:rPr>
                <w:rFonts w:cs="Calibri"/>
                <w:color w:val="000000"/>
                <w:lang w:val="en-US"/>
              </w:rPr>
            </w:pPr>
            <w:r w:rsidRPr="00ED4A1C">
              <w:rPr>
                <w:rFonts w:cs="Calibri"/>
                <w:i/>
                <w:color w:val="000000"/>
                <w:lang w:val="en-US"/>
              </w:rPr>
              <w:t>Purchases of services</w:t>
            </w:r>
            <w:r w:rsidR="00787468">
              <w:rPr>
                <w:rFonts w:cs="Calibri"/>
                <w:i/>
                <w:color w:val="000000"/>
                <w:lang w:val="en-US"/>
              </w:rPr>
              <w:t xml:space="preserve"> </w:t>
            </w:r>
            <w:r w:rsidR="00787468" w:rsidRPr="00ED4A1C">
              <w:rPr>
                <w:rFonts w:cs="Calibri"/>
                <w:i/>
                <w:color w:val="000000"/>
                <w:lang w:val="en-US"/>
              </w:rPr>
              <w:t>(2)</w:t>
            </w:r>
            <w:r w:rsidRPr="00ED4A1C">
              <w:rPr>
                <w:rFonts w:cs="Calibri"/>
                <w:i/>
                <w:color w:val="000000"/>
                <w:lang w:val="en-US"/>
              </w:rPr>
              <w:t xml:space="preserve"> </w:t>
            </w:r>
          </w:p>
        </w:tc>
        <w:tc>
          <w:tcPr>
            <w:tcW w:w="508"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C12210</w:t>
            </w:r>
          </w:p>
        </w:tc>
        <w:tc>
          <w:tcPr>
            <w:tcW w:w="513"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C12211</w:t>
            </w:r>
          </w:p>
        </w:tc>
        <w:tc>
          <w:tcPr>
            <w:tcW w:w="510"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C12212</w:t>
            </w:r>
          </w:p>
        </w:tc>
        <w:tc>
          <w:tcPr>
            <w:tcW w:w="509"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C12213</w:t>
            </w:r>
          </w:p>
        </w:tc>
        <w:tc>
          <w:tcPr>
            <w:tcW w:w="509"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C12214</w:t>
            </w:r>
          </w:p>
        </w:tc>
        <w:tc>
          <w:tcPr>
            <w:tcW w:w="509"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C12245</w:t>
            </w:r>
          </w:p>
        </w:tc>
        <w:tc>
          <w:tcPr>
            <w:tcW w:w="509"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C12246</w:t>
            </w:r>
          </w:p>
        </w:tc>
        <w:tc>
          <w:tcPr>
            <w:tcW w:w="502" w:type="pct"/>
            <w:gridSpan w:val="2"/>
            <w:tcBorders>
              <w:top w:val="single" w:sz="4" w:space="0" w:color="auto"/>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C12247</w:t>
            </w:r>
          </w:p>
        </w:tc>
      </w:tr>
      <w:tr w:rsidR="00136642" w:rsidRPr="00E85963" w:rsidTr="00A831A1">
        <w:trPr>
          <w:gridAfter w:val="1"/>
          <w:wAfter w:w="161" w:type="pct"/>
          <w:trHeight w:val="445"/>
        </w:trPr>
        <w:tc>
          <w:tcPr>
            <w:tcW w:w="769" w:type="pct"/>
            <w:tcBorders>
              <w:top w:val="nil"/>
              <w:left w:val="nil"/>
              <w:bottom w:val="single" w:sz="4" w:space="0" w:color="auto"/>
              <w:right w:val="nil"/>
            </w:tcBorders>
            <w:hideMark/>
          </w:tcPr>
          <w:p w:rsidR="00136642" w:rsidRPr="00E85963" w:rsidRDefault="00136642" w:rsidP="00ED4A1C">
            <w:pPr>
              <w:rPr>
                <w:rFonts w:cs="Calibri"/>
                <w:color w:val="000000"/>
                <w:lang w:val="en-US"/>
              </w:rPr>
            </w:pPr>
            <w:r w:rsidRPr="00E85963">
              <w:rPr>
                <w:rFonts w:cs="Calibri"/>
                <w:color w:val="000000"/>
                <w:lang w:val="en-US"/>
              </w:rPr>
              <w:t>CV</w:t>
            </w:r>
          </w:p>
        </w:tc>
        <w:tc>
          <w:tcPr>
            <w:tcW w:w="508"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3.00%</w:t>
            </w:r>
          </w:p>
        </w:tc>
        <w:tc>
          <w:tcPr>
            <w:tcW w:w="513"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9.55%</w:t>
            </w:r>
          </w:p>
        </w:tc>
        <w:tc>
          <w:tcPr>
            <w:tcW w:w="510"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5.82%</w:t>
            </w: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2.45%</w:t>
            </w: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3.06%</w:t>
            </w: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2.98%</w:t>
            </w: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9.44%</w:t>
            </w:r>
          </w:p>
        </w:tc>
        <w:tc>
          <w:tcPr>
            <w:tcW w:w="502"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2.15%</w:t>
            </w:r>
          </w:p>
        </w:tc>
      </w:tr>
      <w:tr w:rsidR="00136642" w:rsidRPr="00E85963" w:rsidTr="00A831A1">
        <w:trPr>
          <w:gridAfter w:val="1"/>
          <w:wAfter w:w="161" w:type="pct"/>
          <w:trHeight w:val="543"/>
        </w:trPr>
        <w:tc>
          <w:tcPr>
            <w:tcW w:w="769" w:type="pct"/>
            <w:tcBorders>
              <w:top w:val="single" w:sz="4" w:space="0" w:color="auto"/>
              <w:left w:val="nil"/>
              <w:bottom w:val="nil"/>
              <w:right w:val="nil"/>
            </w:tcBorders>
            <w:hideMark/>
          </w:tcPr>
          <w:p w:rsidR="00136642" w:rsidRPr="00E85963" w:rsidRDefault="00787468" w:rsidP="00787468">
            <w:pPr>
              <w:rPr>
                <w:rFonts w:cs="Calibri"/>
                <w:color w:val="000000"/>
                <w:lang w:val="en-US"/>
              </w:rPr>
            </w:pPr>
            <w:r w:rsidRPr="00787468">
              <w:rPr>
                <w:rFonts w:cs="Calibri"/>
                <w:i/>
                <w:color w:val="000000"/>
                <w:lang w:val="en-US"/>
              </w:rPr>
              <w:t>Use of third party assets</w:t>
            </w:r>
          </w:p>
        </w:tc>
        <w:tc>
          <w:tcPr>
            <w:tcW w:w="508"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C12301</w:t>
            </w:r>
          </w:p>
        </w:tc>
        <w:tc>
          <w:tcPr>
            <w:tcW w:w="513"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C12302</w:t>
            </w:r>
          </w:p>
        </w:tc>
        <w:tc>
          <w:tcPr>
            <w:tcW w:w="510"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C12304</w:t>
            </w: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2"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r>
      <w:tr w:rsidR="00136642" w:rsidRPr="00E85963" w:rsidTr="00A831A1">
        <w:trPr>
          <w:gridAfter w:val="1"/>
          <w:wAfter w:w="161" w:type="pct"/>
          <w:trHeight w:val="445"/>
        </w:trPr>
        <w:tc>
          <w:tcPr>
            <w:tcW w:w="769" w:type="pct"/>
            <w:tcBorders>
              <w:top w:val="nil"/>
              <w:left w:val="nil"/>
              <w:bottom w:val="single" w:sz="4" w:space="0" w:color="auto"/>
              <w:right w:val="nil"/>
            </w:tcBorders>
            <w:hideMark/>
          </w:tcPr>
          <w:p w:rsidR="00136642" w:rsidRPr="00E85963" w:rsidRDefault="00136642" w:rsidP="00ED4A1C">
            <w:pPr>
              <w:rPr>
                <w:rFonts w:cs="Calibri"/>
                <w:color w:val="000000"/>
                <w:lang w:val="en-US"/>
              </w:rPr>
            </w:pPr>
            <w:r w:rsidRPr="00E85963">
              <w:rPr>
                <w:rFonts w:cs="Calibri"/>
                <w:color w:val="000000"/>
                <w:lang w:val="en-US"/>
              </w:rPr>
              <w:t>CV</w:t>
            </w:r>
          </w:p>
        </w:tc>
        <w:tc>
          <w:tcPr>
            <w:tcW w:w="508"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1.20%</w:t>
            </w:r>
          </w:p>
        </w:tc>
        <w:tc>
          <w:tcPr>
            <w:tcW w:w="513"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2.44%</w:t>
            </w:r>
          </w:p>
        </w:tc>
        <w:tc>
          <w:tcPr>
            <w:tcW w:w="510"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2.90%</w:t>
            </w: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2"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r>
      <w:tr w:rsidR="00136642" w:rsidRPr="00E85963" w:rsidTr="00A831A1">
        <w:trPr>
          <w:gridAfter w:val="1"/>
          <w:wAfter w:w="161" w:type="pct"/>
          <w:trHeight w:val="445"/>
        </w:trPr>
        <w:tc>
          <w:tcPr>
            <w:tcW w:w="769" w:type="pct"/>
            <w:tcBorders>
              <w:top w:val="single" w:sz="4" w:space="0" w:color="auto"/>
              <w:left w:val="nil"/>
              <w:bottom w:val="nil"/>
              <w:right w:val="nil"/>
            </w:tcBorders>
            <w:hideMark/>
          </w:tcPr>
          <w:p w:rsidR="00136642" w:rsidRPr="00ED4A1C" w:rsidRDefault="00136642" w:rsidP="00ED4A1C">
            <w:pPr>
              <w:rPr>
                <w:rFonts w:cs="Calibri"/>
                <w:i/>
                <w:color w:val="000000"/>
                <w:lang w:val="en-US"/>
              </w:rPr>
            </w:pPr>
            <w:r w:rsidRPr="00ED4A1C">
              <w:rPr>
                <w:rFonts w:cs="Calibri"/>
                <w:i/>
                <w:color w:val="000000"/>
                <w:lang w:val="en-US"/>
              </w:rPr>
              <w:t>Other operating charges</w:t>
            </w:r>
          </w:p>
        </w:tc>
        <w:tc>
          <w:tcPr>
            <w:tcW w:w="508"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C12903</w:t>
            </w:r>
          </w:p>
        </w:tc>
        <w:tc>
          <w:tcPr>
            <w:tcW w:w="513" w:type="pct"/>
            <w:gridSpan w:val="2"/>
            <w:tcBorders>
              <w:top w:val="single" w:sz="4" w:space="0" w:color="auto"/>
              <w:left w:val="nil"/>
              <w:bottom w:val="nil"/>
              <w:right w:val="nil"/>
            </w:tcBorders>
            <w:hideMark/>
          </w:tcPr>
          <w:p w:rsidR="00136642" w:rsidRPr="00ED4A1C" w:rsidRDefault="00136642" w:rsidP="000C7898">
            <w:pPr>
              <w:jc w:val="both"/>
              <w:rPr>
                <w:rFonts w:cs="Calibri"/>
                <w:b/>
                <w:color w:val="000000"/>
                <w:sz w:val="18"/>
                <w:szCs w:val="18"/>
                <w:lang w:val="en-US"/>
              </w:rPr>
            </w:pPr>
            <w:r w:rsidRPr="00ED4A1C">
              <w:rPr>
                <w:rFonts w:cs="Calibri"/>
                <w:b/>
                <w:color w:val="000000"/>
                <w:sz w:val="18"/>
                <w:szCs w:val="18"/>
                <w:lang w:val="en-US"/>
              </w:rPr>
              <w:t>C12905</w:t>
            </w:r>
          </w:p>
        </w:tc>
        <w:tc>
          <w:tcPr>
            <w:tcW w:w="510"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c>
          <w:tcPr>
            <w:tcW w:w="502" w:type="pct"/>
            <w:gridSpan w:val="2"/>
            <w:tcBorders>
              <w:top w:val="single" w:sz="4" w:space="0" w:color="auto"/>
              <w:left w:val="nil"/>
              <w:bottom w:val="nil"/>
              <w:right w:val="nil"/>
            </w:tcBorders>
            <w:hideMark/>
          </w:tcPr>
          <w:p w:rsidR="00136642" w:rsidRPr="0034733F" w:rsidRDefault="00136642" w:rsidP="000C7898">
            <w:pPr>
              <w:jc w:val="both"/>
              <w:rPr>
                <w:rFonts w:cs="Calibri"/>
                <w:color w:val="000000"/>
                <w:sz w:val="18"/>
                <w:szCs w:val="18"/>
                <w:lang w:val="en-US"/>
              </w:rPr>
            </w:pPr>
          </w:p>
        </w:tc>
      </w:tr>
      <w:tr w:rsidR="00136642" w:rsidRPr="00E85963" w:rsidTr="00A831A1">
        <w:trPr>
          <w:gridAfter w:val="1"/>
          <w:wAfter w:w="161" w:type="pct"/>
          <w:trHeight w:val="445"/>
        </w:trPr>
        <w:tc>
          <w:tcPr>
            <w:tcW w:w="769" w:type="pct"/>
            <w:tcBorders>
              <w:top w:val="nil"/>
              <w:left w:val="nil"/>
              <w:bottom w:val="single" w:sz="4" w:space="0" w:color="auto"/>
              <w:right w:val="nil"/>
            </w:tcBorders>
            <w:hideMark/>
          </w:tcPr>
          <w:p w:rsidR="00136642" w:rsidRPr="00E85963" w:rsidRDefault="00136642" w:rsidP="00ED4A1C">
            <w:pPr>
              <w:rPr>
                <w:rFonts w:cs="Calibri"/>
                <w:color w:val="000000"/>
                <w:lang w:val="en-US"/>
              </w:rPr>
            </w:pPr>
            <w:r w:rsidRPr="00E85963">
              <w:rPr>
                <w:rFonts w:cs="Calibri"/>
                <w:color w:val="000000"/>
                <w:lang w:val="en-US"/>
              </w:rPr>
              <w:t>CV</w:t>
            </w:r>
          </w:p>
        </w:tc>
        <w:tc>
          <w:tcPr>
            <w:tcW w:w="508"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1.15%</w:t>
            </w:r>
          </w:p>
        </w:tc>
        <w:tc>
          <w:tcPr>
            <w:tcW w:w="513"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r w:rsidRPr="0034733F">
              <w:rPr>
                <w:rFonts w:cs="Calibri"/>
                <w:color w:val="000000"/>
                <w:sz w:val="18"/>
                <w:szCs w:val="18"/>
                <w:lang w:val="en-US"/>
              </w:rPr>
              <w:t>6.13%</w:t>
            </w:r>
          </w:p>
        </w:tc>
        <w:tc>
          <w:tcPr>
            <w:tcW w:w="510"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9"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c>
          <w:tcPr>
            <w:tcW w:w="502" w:type="pct"/>
            <w:gridSpan w:val="2"/>
            <w:tcBorders>
              <w:top w:val="nil"/>
              <w:left w:val="nil"/>
              <w:bottom w:val="single" w:sz="4" w:space="0" w:color="auto"/>
              <w:right w:val="nil"/>
            </w:tcBorders>
            <w:hideMark/>
          </w:tcPr>
          <w:p w:rsidR="00136642" w:rsidRPr="0034733F" w:rsidRDefault="00136642" w:rsidP="000C7898">
            <w:pPr>
              <w:jc w:val="both"/>
              <w:rPr>
                <w:rFonts w:cs="Calibri"/>
                <w:color w:val="000000"/>
                <w:sz w:val="18"/>
                <w:szCs w:val="18"/>
                <w:lang w:val="en-US"/>
              </w:rPr>
            </w:pPr>
          </w:p>
        </w:tc>
      </w:tr>
    </w:tbl>
    <w:p w:rsidR="00D76C92" w:rsidRPr="00EB6BEF" w:rsidRDefault="0051237C" w:rsidP="00D76C92">
      <w:pPr>
        <w:pStyle w:val="Default"/>
        <w:spacing w:before="360" w:line="360" w:lineRule="auto"/>
        <w:jc w:val="both"/>
        <w:rPr>
          <w:rFonts w:ascii="Times New Roman" w:hAnsi="Times New Roman" w:cs="Times New Roman"/>
          <w:lang w:val="en-US"/>
        </w:rPr>
      </w:pPr>
      <w:r w:rsidRPr="0051237C">
        <w:rPr>
          <w:rFonts w:ascii="Times New Roman" w:hAnsi="Times New Roman" w:cs="Times New Roman"/>
          <w:lang w:val="en-US"/>
        </w:rPr>
        <w:t xml:space="preserve">The impact of the </w:t>
      </w:r>
      <w:r w:rsidRPr="0051237C">
        <w:rPr>
          <w:rFonts w:ascii="Times New Roman" w:hAnsi="Times New Roman" w:cs="Times New Roman"/>
          <w:i/>
          <w:lang w:val="en-US"/>
        </w:rPr>
        <w:t xml:space="preserve">frame </w:t>
      </w:r>
      <w:r w:rsidRPr="0051237C">
        <w:rPr>
          <w:rFonts w:ascii="Times New Roman" w:hAnsi="Times New Roman" w:cs="Times New Roman"/>
          <w:lang w:val="en-US"/>
        </w:rPr>
        <w:t xml:space="preserve">on the main SBS for year 2011 has been evaluated based on the comparison between the target parameters estimates obtained by the current surveys and the corresponding ones based on the </w:t>
      </w:r>
      <w:r w:rsidRPr="0051237C">
        <w:rPr>
          <w:rFonts w:ascii="Times New Roman" w:hAnsi="Times New Roman" w:cs="Times New Roman"/>
          <w:i/>
          <w:lang w:val="en-US"/>
        </w:rPr>
        <w:t>frame</w:t>
      </w:r>
      <w:r w:rsidRPr="0051237C">
        <w:rPr>
          <w:rFonts w:ascii="Times New Roman" w:hAnsi="Times New Roman" w:cs="Times New Roman"/>
          <w:lang w:val="en-US"/>
        </w:rPr>
        <w:t>, at different levels of detail.</w:t>
      </w:r>
      <w:r w:rsidR="00D76C92">
        <w:rPr>
          <w:rFonts w:ascii="Times New Roman" w:hAnsi="Times New Roman" w:cs="Times New Roman"/>
          <w:lang w:val="en-US"/>
        </w:rPr>
        <w:t xml:space="preserve"> </w:t>
      </w:r>
      <w:r w:rsidR="00D76C92" w:rsidRPr="00667FDF">
        <w:rPr>
          <w:rFonts w:ascii="Times New Roman" w:hAnsi="Times New Roman" w:cs="Times New Roman"/>
          <w:lang w:val="en-US"/>
        </w:rPr>
        <w:t xml:space="preserve">Let </w:t>
      </w:r>
      <w:r w:rsidR="00D76C92" w:rsidRPr="00667FDF">
        <w:rPr>
          <w:rFonts w:ascii="Times New Roman" w:hAnsi="Times New Roman" w:cs="Times New Roman"/>
          <w:position w:val="-14"/>
          <w:lang w:val="en-US"/>
        </w:rPr>
        <w:object w:dxaOrig="460" w:dyaOrig="380">
          <v:shape id="_x0000_i1034" type="#_x0000_t75" style="width:23.15pt;height:18.8pt" o:ole="">
            <v:imagedata r:id="rId26" o:title=""/>
          </v:shape>
          <o:OLEObject Type="Embed" ProgID="Equation.3" ShapeID="_x0000_i1034" DrawAspect="Content" ObjectID="_1462287633" r:id="rId27"/>
        </w:object>
      </w:r>
      <w:r w:rsidR="00D76C92" w:rsidRPr="00667FDF">
        <w:rPr>
          <w:rFonts w:ascii="Times New Roman" w:hAnsi="Times New Roman" w:cs="Times New Roman"/>
          <w:lang w:val="en-US"/>
        </w:rPr>
        <w:t xml:space="preserve"> be the estimate of </w:t>
      </w:r>
      <w:r w:rsidR="00D76C92" w:rsidRPr="00667FDF">
        <w:rPr>
          <w:rFonts w:ascii="Times New Roman" w:hAnsi="Times New Roman" w:cs="Times New Roman"/>
          <w:i/>
          <w:lang w:val="en-US"/>
        </w:rPr>
        <w:t>T</w:t>
      </w:r>
      <w:r w:rsidR="00D76C92" w:rsidRPr="00667FDF">
        <w:rPr>
          <w:rFonts w:ascii="Times New Roman" w:hAnsi="Times New Roman" w:cs="Times New Roman"/>
          <w:i/>
          <w:vertAlign w:val="subscript"/>
          <w:lang w:val="en-US"/>
        </w:rPr>
        <w:t>y</w:t>
      </w:r>
      <w:r w:rsidR="00D76C92" w:rsidRPr="00667FDF">
        <w:rPr>
          <w:rFonts w:ascii="Times New Roman" w:hAnsi="Times New Roman" w:cs="Times New Roman"/>
          <w:lang w:val="en-US"/>
        </w:rPr>
        <w:t xml:space="preserve"> based on the </w:t>
      </w:r>
      <w:r w:rsidR="00D76C92">
        <w:rPr>
          <w:rFonts w:ascii="Times New Roman" w:hAnsi="Times New Roman" w:cs="Times New Roman"/>
          <w:lang w:val="en-US"/>
        </w:rPr>
        <w:t>SME</w:t>
      </w:r>
      <w:r w:rsidR="00D76C92" w:rsidRPr="00667FDF">
        <w:rPr>
          <w:rFonts w:ascii="Times New Roman" w:hAnsi="Times New Roman" w:cs="Times New Roman"/>
          <w:lang w:val="en-US"/>
        </w:rPr>
        <w:t xml:space="preserve"> survey and on the total survey on Large Enterprise economic accounts (</w:t>
      </w:r>
      <w:r w:rsidR="00D76C92">
        <w:rPr>
          <w:rFonts w:ascii="Times New Roman" w:hAnsi="Times New Roman" w:cs="Times New Roman"/>
          <w:lang w:val="en-US"/>
        </w:rPr>
        <w:t xml:space="preserve">LE, </w:t>
      </w:r>
      <w:r w:rsidR="00D76C92" w:rsidRPr="00667FDF">
        <w:rPr>
          <w:rFonts w:ascii="Times New Roman" w:hAnsi="Times New Roman" w:cs="Times New Roman"/>
          <w:lang w:val="en-US"/>
        </w:rPr>
        <w:lastRenderedPageBreak/>
        <w:t xml:space="preserve">about 11,000 enterprises with more than 100 employees), and let </w:t>
      </w:r>
      <w:r w:rsidR="00D76C92" w:rsidRPr="00667FDF">
        <w:rPr>
          <w:rFonts w:ascii="Times New Roman" w:hAnsi="Times New Roman" w:cs="Times New Roman"/>
          <w:position w:val="-14"/>
          <w:lang w:val="en-US"/>
        </w:rPr>
        <w:object w:dxaOrig="660" w:dyaOrig="380">
          <v:shape id="_x0000_i1035" type="#_x0000_t75" style="width:33.2pt;height:18.8pt" o:ole="">
            <v:imagedata r:id="rId28" o:title=""/>
          </v:shape>
          <o:OLEObject Type="Embed" ProgID="Equation.3" ShapeID="_x0000_i1035" DrawAspect="Content" ObjectID="_1462287634" r:id="rId29"/>
        </w:object>
      </w:r>
      <w:r w:rsidR="00D76C92" w:rsidRPr="00667FDF">
        <w:rPr>
          <w:rFonts w:ascii="Times New Roman" w:hAnsi="Times New Roman" w:cs="Times New Roman"/>
          <w:lang w:val="en-US"/>
        </w:rPr>
        <w:t xml:space="preserve"> be the corresponding estimate based on the combination of the </w:t>
      </w:r>
      <w:r w:rsidR="00D76C92" w:rsidRPr="00667FDF">
        <w:rPr>
          <w:rFonts w:ascii="Times New Roman" w:hAnsi="Times New Roman" w:cs="Times New Roman"/>
          <w:i/>
          <w:lang w:val="en-US"/>
        </w:rPr>
        <w:t xml:space="preserve">frame </w:t>
      </w:r>
      <w:r w:rsidR="00D76C92" w:rsidRPr="00667FDF">
        <w:rPr>
          <w:rFonts w:ascii="Times New Roman" w:hAnsi="Times New Roman" w:cs="Times New Roman"/>
          <w:lang w:val="en-US"/>
        </w:rPr>
        <w:t xml:space="preserve">and </w:t>
      </w:r>
      <w:r w:rsidR="00D76C92">
        <w:rPr>
          <w:rFonts w:ascii="Times New Roman" w:hAnsi="Times New Roman" w:cs="Times New Roman"/>
          <w:lang w:val="en-US"/>
        </w:rPr>
        <w:t xml:space="preserve">the </w:t>
      </w:r>
      <w:r w:rsidR="00D76C92" w:rsidRPr="00667FDF">
        <w:rPr>
          <w:rFonts w:ascii="Times New Roman" w:hAnsi="Times New Roman" w:cs="Times New Roman"/>
          <w:lang w:val="en-US"/>
        </w:rPr>
        <w:t>LE micro-data.</w:t>
      </w:r>
      <w:r w:rsidR="00D76C92">
        <w:rPr>
          <w:rFonts w:ascii="Times New Roman" w:hAnsi="Times New Roman" w:cs="Times New Roman"/>
          <w:lang w:val="en-US"/>
        </w:rPr>
        <w:t xml:space="preserve"> In</w:t>
      </w:r>
      <w:r w:rsidR="00D76C92" w:rsidRPr="00667FDF">
        <w:rPr>
          <w:rFonts w:ascii="Times New Roman" w:hAnsi="Times New Roman" w:cs="Times New Roman"/>
          <w:lang w:val="en-US"/>
        </w:rPr>
        <w:t xml:space="preserve"> </w:t>
      </w:r>
      <w:r w:rsidR="00D76C92">
        <w:rPr>
          <w:rFonts w:ascii="Times New Roman" w:hAnsi="Times New Roman" w:cs="Times New Roman"/>
          <w:lang w:val="en-US"/>
        </w:rPr>
        <w:t>T</w:t>
      </w:r>
      <w:r w:rsidR="00D76C92" w:rsidRPr="00667FDF">
        <w:rPr>
          <w:rFonts w:ascii="Times New Roman" w:hAnsi="Times New Roman" w:cs="Times New Roman"/>
          <w:lang w:val="en-US"/>
        </w:rPr>
        <w:t xml:space="preserve">able </w:t>
      </w:r>
      <w:r w:rsidR="00D76C92">
        <w:rPr>
          <w:rFonts w:ascii="Times New Roman" w:hAnsi="Times New Roman" w:cs="Times New Roman"/>
          <w:lang w:val="en-US"/>
        </w:rPr>
        <w:t>8</w:t>
      </w:r>
      <w:r w:rsidR="00D76C92" w:rsidRPr="00667FDF">
        <w:rPr>
          <w:rFonts w:ascii="Times New Roman" w:hAnsi="Times New Roman" w:cs="Times New Roman"/>
          <w:lang w:val="en-US"/>
        </w:rPr>
        <w:t xml:space="preserve"> the </w:t>
      </w:r>
      <w:r w:rsidR="00D76C92">
        <w:rPr>
          <w:rFonts w:ascii="Times New Roman" w:hAnsi="Times New Roman" w:cs="Times New Roman"/>
          <w:lang w:val="en-US"/>
        </w:rPr>
        <w:t xml:space="preserve">relative distance </w:t>
      </w:r>
      <w:r w:rsidR="00D76C92" w:rsidRPr="00667FDF">
        <w:rPr>
          <w:rFonts w:ascii="Times New Roman" w:hAnsi="Times New Roman" w:cs="Times New Roman"/>
          <w:position w:val="-32"/>
          <w:lang w:val="en-US"/>
        </w:rPr>
        <w:object w:dxaOrig="2299" w:dyaOrig="740">
          <v:shape id="_x0000_i1036" type="#_x0000_t75" style="width:114.55pt;height:37.55pt" o:ole="">
            <v:imagedata r:id="rId30" o:title=""/>
          </v:shape>
          <o:OLEObject Type="Embed" ProgID="Equation.3" ShapeID="_x0000_i1036" DrawAspect="Content" ObjectID="_1462287635" r:id="rId31"/>
        </w:object>
      </w:r>
      <w:r w:rsidR="00D76C92" w:rsidRPr="00667FDF">
        <w:rPr>
          <w:rFonts w:ascii="Times New Roman" w:hAnsi="Times New Roman" w:cs="Times New Roman"/>
          <w:lang w:val="en-US"/>
        </w:rPr>
        <w:t xml:space="preserve"> are reported for some </w:t>
      </w:r>
      <w:r w:rsidR="00D76C92">
        <w:rPr>
          <w:rFonts w:ascii="Times New Roman" w:hAnsi="Times New Roman" w:cs="Times New Roman"/>
          <w:lang w:val="en-US"/>
        </w:rPr>
        <w:t>main variables</w:t>
      </w:r>
      <w:r w:rsidR="00D76C92" w:rsidRPr="00667FDF">
        <w:rPr>
          <w:rFonts w:ascii="Times New Roman" w:hAnsi="Times New Roman" w:cs="Times New Roman"/>
          <w:lang w:val="en-US"/>
        </w:rPr>
        <w:t xml:space="preserve"> by size </w:t>
      </w:r>
      <w:r w:rsidR="00D76C92">
        <w:rPr>
          <w:rFonts w:ascii="Times New Roman" w:hAnsi="Times New Roman" w:cs="Times New Roman"/>
          <w:lang w:val="en-US"/>
        </w:rPr>
        <w:t>class.</w:t>
      </w:r>
    </w:p>
    <w:p w:rsidR="00136642" w:rsidRPr="00143B1C" w:rsidRDefault="00136642" w:rsidP="00143B1C">
      <w:pPr>
        <w:spacing w:after="120" w:line="240" w:lineRule="auto"/>
        <w:jc w:val="both"/>
        <w:rPr>
          <w:rFonts w:ascii="Times New Roman" w:hAnsi="Times New Roman" w:cs="Times New Roman"/>
          <w:i/>
          <w:color w:val="000000"/>
          <w:sz w:val="24"/>
          <w:szCs w:val="24"/>
          <w:lang w:val="en-US"/>
        </w:rPr>
      </w:pPr>
      <w:r w:rsidRPr="00143B1C">
        <w:rPr>
          <w:rFonts w:ascii="Times New Roman" w:hAnsi="Times New Roman" w:cs="Times New Roman"/>
          <w:i/>
          <w:color w:val="000000"/>
          <w:sz w:val="24"/>
          <w:szCs w:val="24"/>
          <w:lang w:val="en-US"/>
        </w:rPr>
        <w:t xml:space="preserve">Figure 2. Distribution of the coefficient of variation (%) at domain level by components of some economic aggregates (blue: first quartile, red: median, green: third quartile)    </w:t>
      </w:r>
    </w:p>
    <w:p w:rsidR="00136642" w:rsidRDefault="00136642" w:rsidP="00136642">
      <w:pPr>
        <w:pBdr>
          <w:bottom w:val="single" w:sz="4" w:space="1" w:color="auto"/>
        </w:pBdr>
        <w:rPr>
          <w:rFonts w:cs="Calibri"/>
          <w:color w:val="000000"/>
          <w:lang w:val="en-US"/>
        </w:rPr>
      </w:pPr>
      <w:r>
        <w:rPr>
          <w:rFonts w:cs="Calibri"/>
          <w:noProof/>
          <w:color w:val="000000"/>
          <w:lang w:eastAsia="it-IT"/>
        </w:rPr>
        <w:drawing>
          <wp:inline distT="0" distB="0" distL="0" distR="0" wp14:anchorId="35FCAE56" wp14:editId="39B8F15C">
            <wp:extent cx="5215737" cy="3208308"/>
            <wp:effectExtent l="0" t="0" r="444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25859" cy="3214534"/>
                    </a:xfrm>
                    <a:prstGeom prst="rect">
                      <a:avLst/>
                    </a:prstGeom>
                    <a:noFill/>
                    <a:ln>
                      <a:noFill/>
                    </a:ln>
                  </pic:spPr>
                </pic:pic>
              </a:graphicData>
            </a:graphic>
          </wp:inline>
        </w:drawing>
      </w:r>
    </w:p>
    <w:p w:rsidR="00256FE7" w:rsidRPr="00667FDF" w:rsidRDefault="00256FE7" w:rsidP="00D76C92">
      <w:pPr>
        <w:spacing w:before="360" w:after="120" w:line="240" w:lineRule="auto"/>
        <w:rPr>
          <w:rFonts w:ascii="Times New Roman" w:hAnsi="Times New Roman" w:cs="Times New Roman"/>
          <w:i/>
          <w:sz w:val="24"/>
          <w:szCs w:val="24"/>
          <w:lang w:val="en-US"/>
        </w:rPr>
      </w:pPr>
      <w:r w:rsidRPr="00667FDF">
        <w:rPr>
          <w:rFonts w:ascii="Times New Roman" w:hAnsi="Times New Roman" w:cs="Times New Roman"/>
          <w:i/>
          <w:sz w:val="24"/>
          <w:szCs w:val="24"/>
          <w:lang w:val="en-US"/>
        </w:rPr>
        <w:t xml:space="preserve">Table </w:t>
      </w:r>
      <w:r>
        <w:rPr>
          <w:rFonts w:ascii="Times New Roman" w:hAnsi="Times New Roman" w:cs="Times New Roman"/>
          <w:i/>
          <w:sz w:val="24"/>
          <w:szCs w:val="24"/>
          <w:lang w:val="en-US"/>
        </w:rPr>
        <w:t>8</w:t>
      </w:r>
      <w:r w:rsidRPr="00667FDF">
        <w:rPr>
          <w:rFonts w:ascii="Times New Roman" w:hAnsi="Times New Roman" w:cs="Times New Roman"/>
          <w:i/>
          <w:sz w:val="24"/>
          <w:szCs w:val="24"/>
          <w:lang w:val="en-US"/>
        </w:rPr>
        <w:t xml:space="preserve">. </w:t>
      </w:r>
      <w:r w:rsidRPr="00667FDF">
        <w:rPr>
          <w:rFonts w:ascii="Times New Roman" w:hAnsi="Times New Roman" w:cs="Times New Roman"/>
          <w:position w:val="-14"/>
          <w:sz w:val="24"/>
          <w:szCs w:val="24"/>
          <w:lang w:val="en-US"/>
        </w:rPr>
        <w:object w:dxaOrig="520" w:dyaOrig="400">
          <v:shape id="_x0000_i1033" type="#_x0000_t75" style="width:25.65pt;height:20.05pt" o:ole="">
            <v:imagedata r:id="rId33" o:title=""/>
          </v:shape>
          <o:OLEObject Type="Embed" ProgID="Equation.3" ShapeID="_x0000_i1033" DrawAspect="Content" ObjectID="_1462287636" r:id="rId34"/>
        </w:object>
      </w:r>
      <w:r>
        <w:rPr>
          <w:rFonts w:ascii="Times New Roman" w:hAnsi="Times New Roman" w:cs="Times New Roman"/>
          <w:i/>
          <w:sz w:val="24"/>
          <w:szCs w:val="24"/>
          <w:lang w:val="en-US"/>
        </w:rPr>
        <w:t xml:space="preserve">values between </w:t>
      </w:r>
      <w:r w:rsidRPr="00667FDF">
        <w:rPr>
          <w:rFonts w:ascii="Times New Roman" w:hAnsi="Times New Roman" w:cs="Times New Roman"/>
          <w:i/>
          <w:sz w:val="24"/>
          <w:szCs w:val="24"/>
          <w:lang w:val="en-US"/>
        </w:rPr>
        <w:t>frame-based and</w:t>
      </w:r>
      <w:r>
        <w:rPr>
          <w:rFonts w:ascii="Times New Roman" w:hAnsi="Times New Roman" w:cs="Times New Roman"/>
          <w:i/>
          <w:sz w:val="24"/>
          <w:szCs w:val="24"/>
          <w:lang w:val="en-US"/>
        </w:rPr>
        <w:t xml:space="preserve"> </w:t>
      </w:r>
      <w:r w:rsidRPr="00667FDF">
        <w:rPr>
          <w:rFonts w:ascii="Times New Roman" w:hAnsi="Times New Roman" w:cs="Times New Roman"/>
          <w:i/>
          <w:sz w:val="24"/>
          <w:szCs w:val="24"/>
          <w:lang w:val="en-US"/>
        </w:rPr>
        <w:t xml:space="preserve">survey-based estimates </w:t>
      </w:r>
      <w:r>
        <w:rPr>
          <w:rFonts w:ascii="Times New Roman" w:hAnsi="Times New Roman" w:cs="Times New Roman"/>
          <w:i/>
          <w:sz w:val="24"/>
          <w:szCs w:val="24"/>
          <w:lang w:val="en-US"/>
        </w:rPr>
        <w:t>by</w:t>
      </w:r>
      <w:r w:rsidRPr="00667FDF">
        <w:rPr>
          <w:rFonts w:ascii="Times New Roman" w:hAnsi="Times New Roman" w:cs="Times New Roman"/>
          <w:i/>
          <w:sz w:val="24"/>
          <w:szCs w:val="24"/>
          <w:lang w:val="en-US"/>
        </w:rPr>
        <w:t xml:space="preserve"> variables</w:t>
      </w:r>
      <w:r>
        <w:rPr>
          <w:rFonts w:ascii="Times New Roman" w:hAnsi="Times New Roman" w:cs="Times New Roman"/>
          <w:i/>
          <w:sz w:val="24"/>
          <w:szCs w:val="24"/>
          <w:lang w:val="en-US"/>
        </w:rPr>
        <w:t xml:space="preserve"> and</w:t>
      </w:r>
      <w:r w:rsidRPr="00667FDF">
        <w:rPr>
          <w:rFonts w:ascii="Times New Roman" w:hAnsi="Times New Roman" w:cs="Times New Roman"/>
          <w:i/>
          <w:sz w:val="24"/>
          <w:szCs w:val="24"/>
          <w:lang w:val="en-US"/>
        </w:rPr>
        <w:t xml:space="preserve"> size </w:t>
      </w:r>
      <w:r>
        <w:rPr>
          <w:rFonts w:ascii="Times New Roman" w:hAnsi="Times New Roman" w:cs="Times New Roman"/>
          <w:i/>
          <w:sz w:val="24"/>
          <w:szCs w:val="24"/>
          <w:lang w:val="en-US"/>
        </w:rPr>
        <w:t xml:space="preserve">class </w:t>
      </w:r>
    </w:p>
    <w:tbl>
      <w:tblPr>
        <w:tblStyle w:val="Grigliatabella"/>
        <w:tblW w:w="5000" w:type="pct"/>
        <w:tblLook w:val="04A0" w:firstRow="1" w:lastRow="0" w:firstColumn="1" w:lastColumn="0" w:noHBand="0" w:noVBand="1"/>
      </w:tblPr>
      <w:tblGrid>
        <w:gridCol w:w="1941"/>
        <w:gridCol w:w="2012"/>
        <w:gridCol w:w="1939"/>
        <w:gridCol w:w="1916"/>
        <w:gridCol w:w="2046"/>
      </w:tblGrid>
      <w:tr w:rsidR="00256FE7" w:rsidRPr="00D6175A" w:rsidTr="008649A3">
        <w:tc>
          <w:tcPr>
            <w:tcW w:w="985" w:type="pct"/>
            <w:tcBorders>
              <w:left w:val="nil"/>
              <w:bottom w:val="single" w:sz="4" w:space="0" w:color="auto"/>
              <w:right w:val="nil"/>
            </w:tcBorders>
            <w:vAlign w:val="center"/>
          </w:tcPr>
          <w:p w:rsidR="00256FE7" w:rsidRPr="00D6175A" w:rsidRDefault="00256FE7" w:rsidP="008649A3">
            <w:pPr>
              <w:jc w:val="center"/>
              <w:rPr>
                <w:rFonts w:cstheme="minorHAnsi"/>
                <w:b/>
                <w:i/>
                <w:sz w:val="20"/>
                <w:szCs w:val="20"/>
                <w:lang w:val="en-US"/>
              </w:rPr>
            </w:pPr>
            <w:r w:rsidRPr="00D6175A">
              <w:rPr>
                <w:rFonts w:cstheme="minorHAnsi"/>
                <w:b/>
                <w:i/>
                <w:sz w:val="20"/>
                <w:szCs w:val="20"/>
                <w:lang w:val="en-US"/>
              </w:rPr>
              <w:t>Size class</w:t>
            </w:r>
          </w:p>
        </w:tc>
        <w:tc>
          <w:tcPr>
            <w:tcW w:w="1021" w:type="pct"/>
            <w:tcBorders>
              <w:left w:val="nil"/>
              <w:bottom w:val="single" w:sz="4" w:space="0" w:color="auto"/>
              <w:right w:val="nil"/>
            </w:tcBorders>
            <w:vAlign w:val="center"/>
          </w:tcPr>
          <w:p w:rsidR="00256FE7" w:rsidRPr="00D6175A" w:rsidRDefault="00256FE7" w:rsidP="008649A3">
            <w:pPr>
              <w:jc w:val="center"/>
              <w:rPr>
                <w:rFonts w:cstheme="minorHAnsi"/>
                <w:b/>
                <w:i/>
                <w:sz w:val="20"/>
                <w:szCs w:val="20"/>
                <w:lang w:val="en-US"/>
              </w:rPr>
            </w:pPr>
            <w:r w:rsidRPr="00D6175A">
              <w:rPr>
                <w:rFonts w:cstheme="minorHAnsi"/>
                <w:b/>
                <w:i/>
                <w:sz w:val="20"/>
                <w:szCs w:val="20"/>
                <w:lang w:val="en-US"/>
              </w:rPr>
              <w:t>Turnover</w:t>
            </w:r>
          </w:p>
        </w:tc>
        <w:tc>
          <w:tcPr>
            <w:tcW w:w="984" w:type="pct"/>
            <w:tcBorders>
              <w:left w:val="nil"/>
              <w:bottom w:val="single" w:sz="4" w:space="0" w:color="auto"/>
              <w:right w:val="nil"/>
            </w:tcBorders>
            <w:vAlign w:val="center"/>
          </w:tcPr>
          <w:p w:rsidR="00256FE7" w:rsidRPr="00D6175A" w:rsidRDefault="00256FE7" w:rsidP="008649A3">
            <w:pPr>
              <w:jc w:val="center"/>
              <w:rPr>
                <w:rFonts w:cstheme="minorHAnsi"/>
                <w:b/>
                <w:i/>
                <w:sz w:val="20"/>
                <w:szCs w:val="20"/>
                <w:lang w:val="en-US"/>
              </w:rPr>
            </w:pPr>
            <w:r w:rsidRPr="00D6175A">
              <w:rPr>
                <w:rFonts w:cstheme="minorHAnsi"/>
                <w:b/>
                <w:i/>
                <w:sz w:val="20"/>
                <w:szCs w:val="20"/>
                <w:lang w:val="en-US"/>
              </w:rPr>
              <w:t>Value Added</w:t>
            </w:r>
          </w:p>
        </w:tc>
        <w:tc>
          <w:tcPr>
            <w:tcW w:w="972" w:type="pct"/>
            <w:tcBorders>
              <w:left w:val="nil"/>
              <w:bottom w:val="single" w:sz="4" w:space="0" w:color="auto"/>
              <w:right w:val="nil"/>
            </w:tcBorders>
            <w:vAlign w:val="center"/>
          </w:tcPr>
          <w:p w:rsidR="00256FE7" w:rsidRPr="00D6175A" w:rsidRDefault="00256FE7" w:rsidP="008649A3">
            <w:pPr>
              <w:jc w:val="center"/>
              <w:rPr>
                <w:rFonts w:cstheme="minorHAnsi"/>
                <w:b/>
                <w:i/>
                <w:sz w:val="20"/>
                <w:szCs w:val="20"/>
                <w:lang w:val="en-US"/>
              </w:rPr>
            </w:pPr>
            <w:r w:rsidRPr="00D6175A">
              <w:rPr>
                <w:rFonts w:cstheme="minorHAnsi"/>
                <w:b/>
                <w:i/>
                <w:sz w:val="20"/>
                <w:szCs w:val="20"/>
                <w:lang w:val="en-US"/>
              </w:rPr>
              <w:t>Labor Cost</w:t>
            </w:r>
          </w:p>
        </w:tc>
        <w:tc>
          <w:tcPr>
            <w:tcW w:w="1038" w:type="pct"/>
            <w:tcBorders>
              <w:left w:val="nil"/>
              <w:bottom w:val="single" w:sz="4" w:space="0" w:color="auto"/>
              <w:right w:val="nil"/>
            </w:tcBorders>
            <w:vAlign w:val="center"/>
          </w:tcPr>
          <w:p w:rsidR="00256FE7" w:rsidRPr="00D6175A" w:rsidRDefault="00256FE7" w:rsidP="008649A3">
            <w:pPr>
              <w:jc w:val="center"/>
              <w:rPr>
                <w:rFonts w:cstheme="minorHAnsi"/>
                <w:b/>
                <w:i/>
                <w:sz w:val="20"/>
                <w:szCs w:val="20"/>
                <w:lang w:val="en-US"/>
              </w:rPr>
            </w:pPr>
            <w:r w:rsidRPr="00D6175A">
              <w:rPr>
                <w:rFonts w:cstheme="minorHAnsi"/>
                <w:b/>
                <w:i/>
                <w:sz w:val="20"/>
                <w:szCs w:val="20"/>
                <w:lang w:val="en-US"/>
              </w:rPr>
              <w:t>Gross Operating Margin</w:t>
            </w:r>
          </w:p>
        </w:tc>
      </w:tr>
      <w:tr w:rsidR="00256FE7" w:rsidRPr="00D6175A" w:rsidTr="008649A3">
        <w:tc>
          <w:tcPr>
            <w:tcW w:w="985" w:type="pct"/>
            <w:tcBorders>
              <w:left w:val="nil"/>
              <w:bottom w:val="nil"/>
              <w:right w:val="nil"/>
            </w:tcBorders>
          </w:tcPr>
          <w:p w:rsidR="00256FE7" w:rsidRPr="00D6175A" w:rsidRDefault="00256FE7" w:rsidP="008649A3">
            <w:pPr>
              <w:ind w:left="142"/>
              <w:rPr>
                <w:rFonts w:cstheme="minorHAnsi"/>
                <w:i/>
                <w:sz w:val="20"/>
                <w:szCs w:val="20"/>
                <w:lang w:val="en-US"/>
              </w:rPr>
            </w:pPr>
            <w:r w:rsidRPr="00D6175A">
              <w:rPr>
                <w:rFonts w:cstheme="minorHAnsi"/>
                <w:i/>
                <w:sz w:val="20"/>
                <w:szCs w:val="20"/>
                <w:lang w:val="en-US"/>
              </w:rPr>
              <w:t>0-9</w:t>
            </w:r>
          </w:p>
        </w:tc>
        <w:tc>
          <w:tcPr>
            <w:tcW w:w="1021" w:type="pct"/>
            <w:tcBorders>
              <w:left w:val="nil"/>
              <w:bottom w:val="nil"/>
              <w:right w:val="nil"/>
            </w:tcBorders>
            <w:vAlign w:val="bottom"/>
          </w:tcPr>
          <w:p w:rsidR="00256FE7" w:rsidRPr="00D6175A" w:rsidRDefault="00256FE7" w:rsidP="008649A3">
            <w:pPr>
              <w:jc w:val="center"/>
              <w:rPr>
                <w:rFonts w:cstheme="minorHAnsi"/>
                <w:sz w:val="20"/>
                <w:szCs w:val="20"/>
              </w:rPr>
            </w:pPr>
            <w:r w:rsidRPr="00D6175A">
              <w:rPr>
                <w:rFonts w:cstheme="minorHAnsi"/>
                <w:sz w:val="20"/>
                <w:szCs w:val="20"/>
              </w:rPr>
              <w:t>6</w:t>
            </w:r>
            <w:r>
              <w:rPr>
                <w:rFonts w:cstheme="minorHAnsi"/>
                <w:sz w:val="20"/>
                <w:szCs w:val="20"/>
              </w:rPr>
              <w:t>.</w:t>
            </w:r>
            <w:r w:rsidRPr="00D6175A">
              <w:rPr>
                <w:rFonts w:cstheme="minorHAnsi"/>
                <w:sz w:val="20"/>
                <w:szCs w:val="20"/>
              </w:rPr>
              <w:t>4</w:t>
            </w:r>
          </w:p>
        </w:tc>
        <w:tc>
          <w:tcPr>
            <w:tcW w:w="984" w:type="pct"/>
            <w:tcBorders>
              <w:left w:val="nil"/>
              <w:bottom w:val="nil"/>
              <w:right w:val="nil"/>
            </w:tcBorders>
          </w:tcPr>
          <w:p w:rsidR="00256FE7" w:rsidRPr="00D6175A" w:rsidRDefault="00256FE7" w:rsidP="008649A3">
            <w:pPr>
              <w:jc w:val="center"/>
              <w:rPr>
                <w:rFonts w:cstheme="minorHAnsi"/>
                <w:sz w:val="20"/>
                <w:szCs w:val="20"/>
                <w:lang w:val="en-US"/>
              </w:rPr>
            </w:pPr>
            <w:r w:rsidRPr="00D6175A">
              <w:rPr>
                <w:rFonts w:cstheme="minorHAnsi"/>
                <w:sz w:val="20"/>
                <w:szCs w:val="20"/>
                <w:lang w:val="en-US"/>
              </w:rPr>
              <w:t>-2.2</w:t>
            </w:r>
          </w:p>
        </w:tc>
        <w:tc>
          <w:tcPr>
            <w:tcW w:w="972" w:type="pct"/>
            <w:tcBorders>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3.7</w:t>
            </w:r>
          </w:p>
        </w:tc>
        <w:tc>
          <w:tcPr>
            <w:tcW w:w="1038" w:type="pct"/>
            <w:tcBorders>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-4.9</w:t>
            </w:r>
          </w:p>
        </w:tc>
      </w:tr>
      <w:tr w:rsidR="00256FE7" w:rsidRPr="00D6175A" w:rsidTr="008649A3">
        <w:tc>
          <w:tcPr>
            <w:tcW w:w="985" w:type="pct"/>
            <w:tcBorders>
              <w:top w:val="nil"/>
              <w:left w:val="nil"/>
              <w:bottom w:val="nil"/>
              <w:right w:val="nil"/>
            </w:tcBorders>
          </w:tcPr>
          <w:p w:rsidR="00256FE7" w:rsidRPr="00D6175A" w:rsidRDefault="00256FE7" w:rsidP="008649A3">
            <w:pPr>
              <w:ind w:left="142"/>
              <w:rPr>
                <w:rFonts w:cstheme="minorHAnsi"/>
                <w:i/>
                <w:sz w:val="20"/>
                <w:szCs w:val="20"/>
                <w:lang w:val="en-US"/>
              </w:rPr>
            </w:pPr>
            <w:r w:rsidRPr="00D6175A">
              <w:rPr>
                <w:rFonts w:cstheme="minorHAnsi"/>
                <w:i/>
                <w:sz w:val="20"/>
                <w:szCs w:val="20"/>
                <w:lang w:val="en-US"/>
              </w:rPr>
              <w:t>10-19</w:t>
            </w:r>
          </w:p>
        </w:tc>
        <w:tc>
          <w:tcPr>
            <w:tcW w:w="1021" w:type="pct"/>
            <w:tcBorders>
              <w:top w:val="nil"/>
              <w:left w:val="nil"/>
              <w:bottom w:val="nil"/>
              <w:right w:val="nil"/>
            </w:tcBorders>
            <w:vAlign w:val="bottom"/>
          </w:tcPr>
          <w:p w:rsidR="00256FE7" w:rsidRPr="00D6175A" w:rsidRDefault="00256FE7" w:rsidP="008649A3">
            <w:pPr>
              <w:jc w:val="center"/>
              <w:rPr>
                <w:rFonts w:cstheme="minorHAnsi"/>
                <w:sz w:val="20"/>
                <w:szCs w:val="20"/>
              </w:rPr>
            </w:pPr>
            <w:r>
              <w:rPr>
                <w:rFonts w:cstheme="minorHAnsi"/>
                <w:sz w:val="20"/>
                <w:szCs w:val="20"/>
              </w:rPr>
              <w:t>9.</w:t>
            </w:r>
            <w:r w:rsidRPr="00D6175A">
              <w:rPr>
                <w:rFonts w:cstheme="minorHAnsi"/>
                <w:sz w:val="20"/>
                <w:szCs w:val="20"/>
              </w:rPr>
              <w:t>9</w:t>
            </w:r>
          </w:p>
        </w:tc>
        <w:tc>
          <w:tcPr>
            <w:tcW w:w="984"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4.1</w:t>
            </w:r>
          </w:p>
        </w:tc>
        <w:tc>
          <w:tcPr>
            <w:tcW w:w="972"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1.4</w:t>
            </w:r>
          </w:p>
        </w:tc>
        <w:tc>
          <w:tcPr>
            <w:tcW w:w="1038"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9.4</w:t>
            </w:r>
          </w:p>
        </w:tc>
      </w:tr>
      <w:tr w:rsidR="00256FE7" w:rsidRPr="00D6175A" w:rsidTr="008649A3">
        <w:tc>
          <w:tcPr>
            <w:tcW w:w="985" w:type="pct"/>
            <w:tcBorders>
              <w:top w:val="nil"/>
              <w:left w:val="nil"/>
              <w:bottom w:val="nil"/>
              <w:right w:val="nil"/>
            </w:tcBorders>
          </w:tcPr>
          <w:p w:rsidR="00256FE7" w:rsidRPr="00D6175A" w:rsidRDefault="00256FE7" w:rsidP="008649A3">
            <w:pPr>
              <w:ind w:left="142"/>
              <w:rPr>
                <w:rFonts w:cstheme="minorHAnsi"/>
                <w:i/>
                <w:sz w:val="20"/>
                <w:szCs w:val="20"/>
                <w:lang w:val="en-US"/>
              </w:rPr>
            </w:pPr>
            <w:r w:rsidRPr="00D6175A">
              <w:rPr>
                <w:rFonts w:cstheme="minorHAnsi"/>
                <w:i/>
                <w:sz w:val="20"/>
                <w:szCs w:val="20"/>
                <w:lang w:val="en-US"/>
              </w:rPr>
              <w:t>20-49</w:t>
            </w:r>
          </w:p>
        </w:tc>
        <w:tc>
          <w:tcPr>
            <w:tcW w:w="1021" w:type="pct"/>
            <w:tcBorders>
              <w:top w:val="nil"/>
              <w:left w:val="nil"/>
              <w:bottom w:val="nil"/>
              <w:right w:val="nil"/>
            </w:tcBorders>
            <w:vAlign w:val="bottom"/>
          </w:tcPr>
          <w:p w:rsidR="00256FE7" w:rsidRPr="00D6175A" w:rsidRDefault="00256FE7" w:rsidP="008649A3">
            <w:pPr>
              <w:jc w:val="center"/>
              <w:rPr>
                <w:rFonts w:cstheme="minorHAnsi"/>
                <w:sz w:val="20"/>
                <w:szCs w:val="20"/>
              </w:rPr>
            </w:pPr>
            <w:r w:rsidRPr="00D6175A">
              <w:rPr>
                <w:rFonts w:cstheme="minorHAnsi"/>
                <w:sz w:val="20"/>
                <w:szCs w:val="20"/>
              </w:rPr>
              <w:t>10.2</w:t>
            </w:r>
          </w:p>
        </w:tc>
        <w:tc>
          <w:tcPr>
            <w:tcW w:w="984"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4.9</w:t>
            </w:r>
          </w:p>
        </w:tc>
        <w:tc>
          <w:tcPr>
            <w:tcW w:w="972"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0.8</w:t>
            </w:r>
          </w:p>
        </w:tc>
        <w:tc>
          <w:tcPr>
            <w:tcW w:w="1038"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14.5</w:t>
            </w:r>
          </w:p>
        </w:tc>
      </w:tr>
      <w:tr w:rsidR="00256FE7" w:rsidRPr="00D6175A" w:rsidTr="008649A3">
        <w:tc>
          <w:tcPr>
            <w:tcW w:w="985" w:type="pct"/>
            <w:tcBorders>
              <w:top w:val="nil"/>
              <w:left w:val="nil"/>
              <w:bottom w:val="nil"/>
              <w:right w:val="nil"/>
            </w:tcBorders>
          </w:tcPr>
          <w:p w:rsidR="00256FE7" w:rsidRPr="00D6175A" w:rsidRDefault="00256FE7" w:rsidP="008649A3">
            <w:pPr>
              <w:ind w:left="142"/>
              <w:rPr>
                <w:rFonts w:cstheme="minorHAnsi"/>
                <w:i/>
                <w:sz w:val="20"/>
                <w:szCs w:val="20"/>
                <w:lang w:val="en-US"/>
              </w:rPr>
            </w:pPr>
            <w:r w:rsidRPr="00D6175A">
              <w:rPr>
                <w:rFonts w:cstheme="minorHAnsi"/>
                <w:i/>
                <w:sz w:val="20"/>
                <w:szCs w:val="20"/>
                <w:lang w:val="en-US"/>
              </w:rPr>
              <w:t>50-99</w:t>
            </w:r>
          </w:p>
        </w:tc>
        <w:tc>
          <w:tcPr>
            <w:tcW w:w="1021" w:type="pct"/>
            <w:tcBorders>
              <w:top w:val="nil"/>
              <w:left w:val="nil"/>
              <w:bottom w:val="nil"/>
              <w:right w:val="nil"/>
            </w:tcBorders>
            <w:vAlign w:val="bottom"/>
          </w:tcPr>
          <w:p w:rsidR="00256FE7" w:rsidRPr="00D6175A" w:rsidRDefault="00256FE7" w:rsidP="008649A3">
            <w:pPr>
              <w:jc w:val="center"/>
              <w:rPr>
                <w:rFonts w:cstheme="minorHAnsi"/>
                <w:sz w:val="20"/>
                <w:szCs w:val="20"/>
              </w:rPr>
            </w:pPr>
            <w:r w:rsidRPr="00D6175A">
              <w:rPr>
                <w:rFonts w:cstheme="minorHAnsi"/>
                <w:sz w:val="20"/>
                <w:szCs w:val="20"/>
              </w:rPr>
              <w:t>6.5</w:t>
            </w:r>
          </w:p>
        </w:tc>
        <w:tc>
          <w:tcPr>
            <w:tcW w:w="984"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-0.6</w:t>
            </w:r>
          </w:p>
        </w:tc>
        <w:tc>
          <w:tcPr>
            <w:tcW w:w="972"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-1.6</w:t>
            </w:r>
          </w:p>
        </w:tc>
        <w:tc>
          <w:tcPr>
            <w:tcW w:w="1038" w:type="pct"/>
            <w:tcBorders>
              <w:top w:val="nil"/>
              <w:left w:val="nil"/>
              <w:bottom w:val="nil"/>
              <w:right w:val="nil"/>
            </w:tcBorders>
          </w:tcPr>
          <w:p w:rsidR="00256FE7" w:rsidRPr="00D6175A" w:rsidRDefault="00256FE7" w:rsidP="008649A3">
            <w:pPr>
              <w:jc w:val="center"/>
              <w:rPr>
                <w:rFonts w:cstheme="minorHAnsi"/>
                <w:sz w:val="20"/>
                <w:szCs w:val="20"/>
                <w:lang w:val="en-US"/>
              </w:rPr>
            </w:pPr>
            <w:r>
              <w:rPr>
                <w:rFonts w:cstheme="minorHAnsi"/>
                <w:sz w:val="20"/>
                <w:szCs w:val="20"/>
                <w:lang w:val="en-US"/>
              </w:rPr>
              <w:t>1.7</w:t>
            </w:r>
          </w:p>
        </w:tc>
      </w:tr>
      <w:tr w:rsidR="00256FE7" w:rsidRPr="00D6175A" w:rsidTr="008649A3">
        <w:tc>
          <w:tcPr>
            <w:tcW w:w="985" w:type="pct"/>
            <w:tcBorders>
              <w:top w:val="nil"/>
              <w:left w:val="nil"/>
              <w:bottom w:val="nil"/>
              <w:right w:val="nil"/>
            </w:tcBorders>
          </w:tcPr>
          <w:p w:rsidR="00256FE7" w:rsidRPr="00D6175A" w:rsidRDefault="00256FE7" w:rsidP="008649A3">
            <w:pPr>
              <w:ind w:left="142"/>
              <w:rPr>
                <w:rFonts w:cstheme="minorHAnsi"/>
                <w:i/>
                <w:sz w:val="20"/>
                <w:szCs w:val="20"/>
                <w:lang w:val="en-US"/>
              </w:rPr>
            </w:pPr>
            <w:r>
              <w:rPr>
                <w:rFonts w:cstheme="minorHAnsi"/>
                <w:i/>
                <w:sz w:val="20"/>
                <w:szCs w:val="20"/>
                <w:lang w:val="en-US"/>
              </w:rPr>
              <w:t>100-249</w:t>
            </w:r>
          </w:p>
        </w:tc>
        <w:tc>
          <w:tcPr>
            <w:tcW w:w="1021" w:type="pct"/>
            <w:tcBorders>
              <w:top w:val="nil"/>
              <w:left w:val="nil"/>
              <w:bottom w:val="nil"/>
              <w:right w:val="nil"/>
            </w:tcBorders>
            <w:vAlign w:val="bottom"/>
          </w:tcPr>
          <w:p w:rsidR="00256FE7" w:rsidRPr="00D6175A" w:rsidRDefault="00256FE7" w:rsidP="008649A3">
            <w:pPr>
              <w:jc w:val="center"/>
              <w:rPr>
                <w:rFonts w:cstheme="minorHAnsi"/>
                <w:sz w:val="20"/>
                <w:szCs w:val="20"/>
              </w:rPr>
            </w:pPr>
            <w:r>
              <w:rPr>
                <w:rFonts w:cstheme="minorHAnsi"/>
                <w:sz w:val="20"/>
                <w:szCs w:val="20"/>
              </w:rPr>
              <w:t>0</w:t>
            </w:r>
          </w:p>
        </w:tc>
        <w:tc>
          <w:tcPr>
            <w:tcW w:w="984" w:type="pct"/>
            <w:tcBorders>
              <w:top w:val="nil"/>
              <w:left w:val="nil"/>
              <w:bottom w:val="nil"/>
              <w:right w:val="nil"/>
            </w:tcBorders>
          </w:tcPr>
          <w:p w:rsidR="00256FE7" w:rsidRDefault="00256FE7" w:rsidP="008649A3">
            <w:pPr>
              <w:jc w:val="center"/>
              <w:rPr>
                <w:rFonts w:cstheme="minorHAnsi"/>
                <w:sz w:val="20"/>
                <w:szCs w:val="20"/>
                <w:lang w:val="en-US"/>
              </w:rPr>
            </w:pPr>
            <w:r>
              <w:rPr>
                <w:rFonts w:cstheme="minorHAnsi"/>
                <w:sz w:val="20"/>
                <w:szCs w:val="20"/>
                <w:lang w:val="en-US"/>
              </w:rPr>
              <w:t>0</w:t>
            </w:r>
          </w:p>
        </w:tc>
        <w:tc>
          <w:tcPr>
            <w:tcW w:w="972" w:type="pct"/>
            <w:tcBorders>
              <w:top w:val="nil"/>
              <w:left w:val="nil"/>
              <w:bottom w:val="nil"/>
              <w:right w:val="nil"/>
            </w:tcBorders>
          </w:tcPr>
          <w:p w:rsidR="00256FE7" w:rsidRDefault="00256FE7" w:rsidP="008649A3">
            <w:pPr>
              <w:jc w:val="center"/>
              <w:rPr>
                <w:rFonts w:cstheme="minorHAnsi"/>
                <w:sz w:val="20"/>
                <w:szCs w:val="20"/>
                <w:lang w:val="en-US"/>
              </w:rPr>
            </w:pPr>
            <w:r>
              <w:rPr>
                <w:rFonts w:cstheme="minorHAnsi"/>
                <w:sz w:val="20"/>
                <w:szCs w:val="20"/>
                <w:lang w:val="en-US"/>
              </w:rPr>
              <w:t>0</w:t>
            </w:r>
          </w:p>
        </w:tc>
        <w:tc>
          <w:tcPr>
            <w:tcW w:w="1038" w:type="pct"/>
            <w:tcBorders>
              <w:top w:val="nil"/>
              <w:left w:val="nil"/>
              <w:bottom w:val="nil"/>
              <w:right w:val="nil"/>
            </w:tcBorders>
          </w:tcPr>
          <w:p w:rsidR="00256FE7" w:rsidRDefault="00256FE7" w:rsidP="008649A3">
            <w:pPr>
              <w:jc w:val="center"/>
              <w:rPr>
                <w:rFonts w:cstheme="minorHAnsi"/>
                <w:sz w:val="20"/>
                <w:szCs w:val="20"/>
                <w:lang w:val="en-US"/>
              </w:rPr>
            </w:pPr>
            <w:r>
              <w:rPr>
                <w:rFonts w:cstheme="minorHAnsi"/>
                <w:sz w:val="20"/>
                <w:szCs w:val="20"/>
                <w:lang w:val="en-US"/>
              </w:rPr>
              <w:t>0</w:t>
            </w:r>
          </w:p>
        </w:tc>
      </w:tr>
      <w:tr w:rsidR="00256FE7" w:rsidRPr="00D6175A" w:rsidTr="008649A3">
        <w:tc>
          <w:tcPr>
            <w:tcW w:w="985" w:type="pct"/>
            <w:tcBorders>
              <w:top w:val="nil"/>
              <w:left w:val="nil"/>
              <w:bottom w:val="single" w:sz="4" w:space="0" w:color="auto"/>
              <w:right w:val="nil"/>
            </w:tcBorders>
          </w:tcPr>
          <w:p w:rsidR="00256FE7" w:rsidRPr="00D6175A" w:rsidRDefault="00256FE7" w:rsidP="008649A3">
            <w:pPr>
              <w:ind w:left="142"/>
              <w:rPr>
                <w:rFonts w:cstheme="minorHAnsi"/>
                <w:i/>
                <w:sz w:val="20"/>
                <w:szCs w:val="20"/>
                <w:lang w:val="en-US"/>
              </w:rPr>
            </w:pPr>
            <w:r>
              <w:rPr>
                <w:rFonts w:cstheme="minorHAnsi"/>
                <w:i/>
                <w:sz w:val="20"/>
                <w:szCs w:val="20"/>
                <w:lang w:val="en-US"/>
              </w:rPr>
              <w:t>250+</w:t>
            </w:r>
          </w:p>
        </w:tc>
        <w:tc>
          <w:tcPr>
            <w:tcW w:w="1021" w:type="pct"/>
            <w:tcBorders>
              <w:top w:val="nil"/>
              <w:left w:val="nil"/>
              <w:bottom w:val="single" w:sz="4" w:space="0" w:color="auto"/>
              <w:right w:val="nil"/>
            </w:tcBorders>
            <w:vAlign w:val="bottom"/>
          </w:tcPr>
          <w:p w:rsidR="00256FE7" w:rsidRPr="00D6175A" w:rsidRDefault="00256FE7" w:rsidP="008649A3">
            <w:pPr>
              <w:jc w:val="center"/>
              <w:rPr>
                <w:rFonts w:cstheme="minorHAnsi"/>
                <w:sz w:val="20"/>
                <w:szCs w:val="20"/>
              </w:rPr>
            </w:pPr>
            <w:r>
              <w:rPr>
                <w:rFonts w:cstheme="minorHAnsi"/>
                <w:sz w:val="20"/>
                <w:szCs w:val="20"/>
              </w:rPr>
              <w:t>0</w:t>
            </w:r>
          </w:p>
        </w:tc>
        <w:tc>
          <w:tcPr>
            <w:tcW w:w="984" w:type="pct"/>
            <w:tcBorders>
              <w:top w:val="nil"/>
              <w:left w:val="nil"/>
              <w:bottom w:val="single" w:sz="4" w:space="0" w:color="auto"/>
              <w:right w:val="nil"/>
            </w:tcBorders>
          </w:tcPr>
          <w:p w:rsidR="00256FE7" w:rsidRDefault="00256FE7" w:rsidP="008649A3">
            <w:pPr>
              <w:jc w:val="center"/>
              <w:rPr>
                <w:rFonts w:cstheme="minorHAnsi"/>
                <w:sz w:val="20"/>
                <w:szCs w:val="20"/>
                <w:lang w:val="en-US"/>
              </w:rPr>
            </w:pPr>
            <w:r>
              <w:rPr>
                <w:rFonts w:cstheme="minorHAnsi"/>
                <w:sz w:val="20"/>
                <w:szCs w:val="20"/>
                <w:lang w:val="en-US"/>
              </w:rPr>
              <w:t>0</w:t>
            </w:r>
          </w:p>
        </w:tc>
        <w:tc>
          <w:tcPr>
            <w:tcW w:w="972" w:type="pct"/>
            <w:tcBorders>
              <w:top w:val="nil"/>
              <w:left w:val="nil"/>
              <w:bottom w:val="single" w:sz="4" w:space="0" w:color="auto"/>
              <w:right w:val="nil"/>
            </w:tcBorders>
          </w:tcPr>
          <w:p w:rsidR="00256FE7" w:rsidRDefault="00256FE7" w:rsidP="008649A3">
            <w:pPr>
              <w:jc w:val="center"/>
              <w:rPr>
                <w:rFonts w:cstheme="minorHAnsi"/>
                <w:sz w:val="20"/>
                <w:szCs w:val="20"/>
                <w:lang w:val="en-US"/>
              </w:rPr>
            </w:pPr>
            <w:r>
              <w:rPr>
                <w:rFonts w:cstheme="minorHAnsi"/>
                <w:sz w:val="20"/>
                <w:szCs w:val="20"/>
                <w:lang w:val="en-US"/>
              </w:rPr>
              <w:t>0</w:t>
            </w:r>
          </w:p>
        </w:tc>
        <w:tc>
          <w:tcPr>
            <w:tcW w:w="1038" w:type="pct"/>
            <w:tcBorders>
              <w:top w:val="nil"/>
              <w:left w:val="nil"/>
              <w:bottom w:val="single" w:sz="4" w:space="0" w:color="auto"/>
              <w:right w:val="nil"/>
            </w:tcBorders>
          </w:tcPr>
          <w:p w:rsidR="00256FE7" w:rsidRDefault="00256FE7" w:rsidP="008649A3">
            <w:pPr>
              <w:jc w:val="center"/>
              <w:rPr>
                <w:rFonts w:cstheme="minorHAnsi"/>
                <w:sz w:val="20"/>
                <w:szCs w:val="20"/>
                <w:lang w:val="en-US"/>
              </w:rPr>
            </w:pPr>
            <w:r>
              <w:rPr>
                <w:rFonts w:cstheme="minorHAnsi"/>
                <w:sz w:val="20"/>
                <w:szCs w:val="20"/>
                <w:lang w:val="en-US"/>
              </w:rPr>
              <w:t>0</w:t>
            </w:r>
          </w:p>
        </w:tc>
      </w:tr>
      <w:tr w:rsidR="00256FE7" w:rsidRPr="00D6175A" w:rsidTr="008649A3">
        <w:tc>
          <w:tcPr>
            <w:tcW w:w="985" w:type="pct"/>
            <w:tcBorders>
              <w:left w:val="nil"/>
              <w:right w:val="nil"/>
            </w:tcBorders>
          </w:tcPr>
          <w:p w:rsidR="00256FE7" w:rsidRPr="00D6175A" w:rsidRDefault="00256FE7" w:rsidP="008649A3">
            <w:pPr>
              <w:ind w:left="142"/>
              <w:rPr>
                <w:rFonts w:cstheme="minorHAnsi"/>
                <w:b/>
                <w:i/>
                <w:sz w:val="20"/>
                <w:szCs w:val="20"/>
                <w:lang w:val="en-US"/>
              </w:rPr>
            </w:pPr>
            <w:r w:rsidRPr="00D6175A">
              <w:rPr>
                <w:rFonts w:cstheme="minorHAnsi"/>
                <w:b/>
                <w:i/>
                <w:sz w:val="20"/>
                <w:szCs w:val="20"/>
                <w:lang w:val="en-US"/>
              </w:rPr>
              <w:t>Total</w:t>
            </w:r>
          </w:p>
        </w:tc>
        <w:tc>
          <w:tcPr>
            <w:tcW w:w="1021" w:type="pct"/>
            <w:tcBorders>
              <w:left w:val="nil"/>
              <w:right w:val="nil"/>
            </w:tcBorders>
            <w:vAlign w:val="bottom"/>
          </w:tcPr>
          <w:p w:rsidR="00256FE7" w:rsidRPr="00D6175A" w:rsidRDefault="00256FE7" w:rsidP="008649A3">
            <w:pPr>
              <w:jc w:val="center"/>
              <w:rPr>
                <w:rFonts w:cstheme="minorHAnsi"/>
                <w:b/>
                <w:sz w:val="20"/>
                <w:szCs w:val="20"/>
              </w:rPr>
            </w:pPr>
            <w:r>
              <w:rPr>
                <w:rFonts w:cstheme="minorHAnsi"/>
                <w:b/>
                <w:sz w:val="20"/>
                <w:szCs w:val="20"/>
              </w:rPr>
              <w:t>4.5</w:t>
            </w:r>
          </w:p>
        </w:tc>
        <w:tc>
          <w:tcPr>
            <w:tcW w:w="984" w:type="pct"/>
            <w:tcBorders>
              <w:left w:val="nil"/>
              <w:right w:val="nil"/>
            </w:tcBorders>
          </w:tcPr>
          <w:p w:rsidR="00256FE7" w:rsidRPr="00D6175A" w:rsidRDefault="00256FE7" w:rsidP="008649A3">
            <w:pPr>
              <w:jc w:val="center"/>
              <w:rPr>
                <w:rFonts w:cstheme="minorHAnsi"/>
                <w:b/>
                <w:sz w:val="20"/>
                <w:szCs w:val="20"/>
                <w:lang w:val="en-US"/>
              </w:rPr>
            </w:pPr>
            <w:r>
              <w:rPr>
                <w:rFonts w:cstheme="minorHAnsi"/>
                <w:b/>
                <w:sz w:val="20"/>
                <w:szCs w:val="20"/>
                <w:lang w:val="en-US"/>
              </w:rPr>
              <w:t>0.2</w:t>
            </w:r>
          </w:p>
        </w:tc>
        <w:tc>
          <w:tcPr>
            <w:tcW w:w="972" w:type="pct"/>
            <w:tcBorders>
              <w:left w:val="nil"/>
              <w:right w:val="nil"/>
            </w:tcBorders>
          </w:tcPr>
          <w:p w:rsidR="00256FE7" w:rsidRPr="00D6175A" w:rsidRDefault="00256FE7" w:rsidP="008649A3">
            <w:pPr>
              <w:jc w:val="center"/>
              <w:rPr>
                <w:rFonts w:cstheme="minorHAnsi"/>
                <w:b/>
                <w:sz w:val="20"/>
                <w:szCs w:val="20"/>
                <w:lang w:val="en-US"/>
              </w:rPr>
            </w:pPr>
            <w:r>
              <w:rPr>
                <w:rFonts w:cstheme="minorHAnsi"/>
                <w:b/>
                <w:sz w:val="20"/>
                <w:szCs w:val="20"/>
                <w:lang w:val="en-US"/>
              </w:rPr>
              <w:t>0.8</w:t>
            </w:r>
          </w:p>
        </w:tc>
        <w:tc>
          <w:tcPr>
            <w:tcW w:w="1038" w:type="pct"/>
            <w:tcBorders>
              <w:left w:val="nil"/>
              <w:right w:val="nil"/>
            </w:tcBorders>
          </w:tcPr>
          <w:p w:rsidR="00256FE7" w:rsidRPr="00D6175A" w:rsidRDefault="00256FE7" w:rsidP="008649A3">
            <w:pPr>
              <w:jc w:val="center"/>
              <w:rPr>
                <w:rFonts w:cstheme="minorHAnsi"/>
                <w:b/>
                <w:sz w:val="20"/>
                <w:szCs w:val="20"/>
                <w:lang w:val="en-US"/>
              </w:rPr>
            </w:pPr>
            <w:r>
              <w:rPr>
                <w:rFonts w:cstheme="minorHAnsi"/>
                <w:b/>
                <w:sz w:val="20"/>
                <w:szCs w:val="20"/>
                <w:lang w:val="en-US"/>
              </w:rPr>
              <w:t>-0.5</w:t>
            </w:r>
          </w:p>
        </w:tc>
      </w:tr>
    </w:tbl>
    <w:p w:rsidR="006B59D0" w:rsidRDefault="006B59D0" w:rsidP="0051237C">
      <w:pPr>
        <w:pStyle w:val="Default"/>
        <w:spacing w:before="360" w:line="360" w:lineRule="auto"/>
        <w:jc w:val="both"/>
        <w:rPr>
          <w:rFonts w:ascii="Times New Roman" w:hAnsi="Times New Roman" w:cs="Times New Roman"/>
          <w:lang w:val="en-US"/>
        </w:rPr>
      </w:pPr>
      <w:r w:rsidRPr="00667FDF">
        <w:rPr>
          <w:rFonts w:ascii="Times New Roman" w:hAnsi="Times New Roman" w:cs="Times New Roman"/>
          <w:lang w:val="en-US"/>
        </w:rPr>
        <w:t xml:space="preserve">As it can be seen, the use of the </w:t>
      </w:r>
      <w:r w:rsidRPr="00667FDF">
        <w:rPr>
          <w:rFonts w:ascii="Times New Roman" w:hAnsi="Times New Roman" w:cs="Times New Roman"/>
          <w:i/>
          <w:lang w:val="en-US"/>
        </w:rPr>
        <w:t>frame</w:t>
      </w:r>
      <w:r w:rsidRPr="00667FDF">
        <w:rPr>
          <w:rFonts w:ascii="Times New Roman" w:hAnsi="Times New Roman" w:cs="Times New Roman"/>
          <w:lang w:val="en-US"/>
        </w:rPr>
        <w:t xml:space="preserve"> determines an increase of the estimates for all the reported variables, except than for </w:t>
      </w:r>
      <w:r w:rsidRPr="00EB6BEF">
        <w:rPr>
          <w:rFonts w:ascii="Times New Roman" w:hAnsi="Times New Roman" w:cs="Times New Roman"/>
          <w:i/>
          <w:lang w:val="en-US"/>
        </w:rPr>
        <w:t>Gross Operating Margin</w:t>
      </w:r>
      <w:r>
        <w:rPr>
          <w:rFonts w:ascii="Times New Roman" w:hAnsi="Times New Roman" w:cs="Times New Roman"/>
          <w:lang w:val="en-US"/>
        </w:rPr>
        <w:t>. T</w:t>
      </w:r>
      <w:r w:rsidRPr="00667FDF">
        <w:rPr>
          <w:rFonts w:ascii="Times New Roman" w:hAnsi="Times New Roman" w:cs="Times New Roman"/>
          <w:lang w:val="en-US"/>
        </w:rPr>
        <w:t xml:space="preserve">he estimate of </w:t>
      </w:r>
      <w:r w:rsidRPr="00EB6BEF">
        <w:rPr>
          <w:rFonts w:ascii="Times New Roman" w:hAnsi="Times New Roman" w:cs="Times New Roman"/>
          <w:i/>
          <w:lang w:val="en-US"/>
        </w:rPr>
        <w:t>Value Added</w:t>
      </w:r>
      <w:r w:rsidRPr="00667FDF">
        <w:rPr>
          <w:rFonts w:ascii="Times New Roman" w:hAnsi="Times New Roman" w:cs="Times New Roman"/>
          <w:lang w:val="en-US"/>
        </w:rPr>
        <w:t xml:space="preserve"> increases of about 0.2%, even if </w:t>
      </w:r>
      <w:r>
        <w:rPr>
          <w:rFonts w:ascii="Times New Roman" w:hAnsi="Times New Roman" w:cs="Times New Roman"/>
          <w:lang w:val="en-US"/>
        </w:rPr>
        <w:t xml:space="preserve">it </w:t>
      </w:r>
      <w:r w:rsidRPr="00667FDF">
        <w:rPr>
          <w:rFonts w:ascii="Times New Roman" w:hAnsi="Times New Roman" w:cs="Times New Roman"/>
          <w:lang w:val="en-US"/>
        </w:rPr>
        <w:t>decrease</w:t>
      </w:r>
      <w:r>
        <w:rPr>
          <w:rFonts w:ascii="Times New Roman" w:hAnsi="Times New Roman" w:cs="Times New Roman"/>
          <w:lang w:val="en-US"/>
        </w:rPr>
        <w:t>s</w:t>
      </w:r>
      <w:r w:rsidRPr="00667FDF">
        <w:rPr>
          <w:rFonts w:ascii="Times New Roman" w:hAnsi="Times New Roman" w:cs="Times New Roman"/>
          <w:lang w:val="en-US"/>
        </w:rPr>
        <w:t xml:space="preserve"> (-2.2</w:t>
      </w:r>
      <w:r>
        <w:rPr>
          <w:rFonts w:ascii="Times New Roman" w:hAnsi="Times New Roman" w:cs="Times New Roman"/>
          <w:lang w:val="en-US"/>
        </w:rPr>
        <w:t>%</w:t>
      </w:r>
      <w:r w:rsidRPr="00667FDF">
        <w:rPr>
          <w:rFonts w:ascii="Times New Roman" w:hAnsi="Times New Roman" w:cs="Times New Roman"/>
          <w:lang w:val="en-US"/>
        </w:rPr>
        <w:t xml:space="preserve">) </w:t>
      </w:r>
      <w:r>
        <w:rPr>
          <w:rFonts w:ascii="Times New Roman" w:hAnsi="Times New Roman" w:cs="Times New Roman"/>
          <w:lang w:val="en-US"/>
        </w:rPr>
        <w:t xml:space="preserve">in </w:t>
      </w:r>
      <w:r w:rsidRPr="00667FDF">
        <w:rPr>
          <w:rFonts w:ascii="Times New Roman" w:hAnsi="Times New Roman" w:cs="Times New Roman"/>
          <w:lang w:val="en-US"/>
        </w:rPr>
        <w:t xml:space="preserve">the class </w:t>
      </w:r>
      <w:r>
        <w:rPr>
          <w:rFonts w:ascii="Times New Roman" w:hAnsi="Times New Roman" w:cs="Times New Roman"/>
          <w:lang w:val="en-US"/>
        </w:rPr>
        <w:t>[0,9].</w:t>
      </w:r>
      <w:r w:rsidRPr="00667FDF">
        <w:rPr>
          <w:rFonts w:ascii="Times New Roman" w:hAnsi="Times New Roman" w:cs="Times New Roman"/>
          <w:lang w:val="en-US"/>
        </w:rPr>
        <w:t xml:space="preserve"> </w:t>
      </w:r>
      <w:r>
        <w:rPr>
          <w:rFonts w:ascii="Times New Roman" w:hAnsi="Times New Roman" w:cs="Times New Roman"/>
          <w:lang w:val="en-US"/>
        </w:rPr>
        <w:t xml:space="preserve">Concerning </w:t>
      </w:r>
      <w:r w:rsidRPr="00EB6BEF">
        <w:rPr>
          <w:rFonts w:ascii="Times New Roman" w:hAnsi="Times New Roman" w:cs="Times New Roman"/>
          <w:i/>
          <w:lang w:val="en-US"/>
        </w:rPr>
        <w:t>Turnover</w:t>
      </w:r>
      <w:r>
        <w:rPr>
          <w:rFonts w:ascii="Times New Roman" w:hAnsi="Times New Roman" w:cs="Times New Roman"/>
          <w:lang w:val="en-US"/>
        </w:rPr>
        <w:t xml:space="preserve">, the </w:t>
      </w:r>
      <w:r>
        <w:rPr>
          <w:rFonts w:ascii="Times New Roman" w:hAnsi="Times New Roman" w:cs="Times New Roman"/>
          <w:i/>
          <w:lang w:val="en-US"/>
        </w:rPr>
        <w:t xml:space="preserve">frame </w:t>
      </w:r>
      <w:r>
        <w:rPr>
          <w:rFonts w:ascii="Times New Roman" w:hAnsi="Times New Roman" w:cs="Times New Roman"/>
          <w:lang w:val="en-US"/>
        </w:rPr>
        <w:t>determines a significant increase of the total estimates for all the size classes.</w:t>
      </w:r>
    </w:p>
    <w:p w:rsidR="003E694C" w:rsidRPr="00AD176A" w:rsidRDefault="003E694C" w:rsidP="006B59D0">
      <w:pPr>
        <w:numPr>
          <w:ilvl w:val="0"/>
          <w:numId w:val="7"/>
        </w:numPr>
        <w:tabs>
          <w:tab w:val="left" w:pos="426"/>
        </w:tabs>
        <w:spacing w:before="240" w:after="0" w:line="240" w:lineRule="auto"/>
        <w:ind w:left="0" w:firstLine="0"/>
        <w:rPr>
          <w:rFonts w:ascii="Times New Roman" w:eastAsia="Times New Roman" w:hAnsi="Times New Roman" w:cs="Times New Roman"/>
          <w:b/>
          <w:sz w:val="24"/>
          <w:szCs w:val="24"/>
          <w:lang w:val="en-CA" w:eastAsia="en-CA"/>
        </w:rPr>
      </w:pPr>
      <w:r w:rsidRPr="00AD176A">
        <w:rPr>
          <w:rFonts w:ascii="Times New Roman" w:eastAsia="Times New Roman" w:hAnsi="Times New Roman" w:cs="Times New Roman"/>
          <w:b/>
          <w:sz w:val="24"/>
          <w:szCs w:val="24"/>
          <w:lang w:val="en-CA" w:eastAsia="en-CA"/>
        </w:rPr>
        <w:t>Conclusions and future work</w:t>
      </w:r>
    </w:p>
    <w:p w:rsidR="005A51AA" w:rsidRDefault="000448E0" w:rsidP="005A51AA">
      <w:pPr>
        <w:pStyle w:val="Default"/>
        <w:spacing w:before="240" w:line="360" w:lineRule="auto"/>
        <w:jc w:val="both"/>
        <w:rPr>
          <w:rFonts w:ascii="Times New Roman" w:hAnsi="Times New Roman" w:cs="Times New Roman"/>
          <w:lang w:val="en-US"/>
        </w:rPr>
      </w:pPr>
      <w:r>
        <w:rPr>
          <w:rFonts w:ascii="Times New Roman" w:hAnsi="Times New Roman" w:cs="Times New Roman"/>
          <w:lang w:val="en-US"/>
        </w:rPr>
        <w:t xml:space="preserve">In this paper the main features and methodological solutions adopted to produce </w:t>
      </w:r>
      <w:r w:rsidR="005A51AA">
        <w:rPr>
          <w:rFonts w:ascii="Times New Roman" w:hAnsi="Times New Roman" w:cs="Times New Roman"/>
          <w:lang w:val="en-US"/>
        </w:rPr>
        <w:t>the</w:t>
      </w:r>
      <w:r>
        <w:rPr>
          <w:rFonts w:ascii="Times New Roman" w:hAnsi="Times New Roman" w:cs="Times New Roman"/>
          <w:lang w:val="en-US"/>
        </w:rPr>
        <w:t xml:space="preserve"> new statistical information system for SBS estimation </w:t>
      </w:r>
      <w:r w:rsidR="005A51AA">
        <w:rPr>
          <w:rFonts w:ascii="Times New Roman" w:hAnsi="Times New Roman" w:cs="Times New Roman"/>
          <w:lang w:val="en-US"/>
        </w:rPr>
        <w:t xml:space="preserve">(called </w:t>
      </w:r>
      <w:r w:rsidR="005A51AA">
        <w:rPr>
          <w:rFonts w:ascii="Times New Roman" w:hAnsi="Times New Roman" w:cs="Times New Roman"/>
          <w:i/>
          <w:lang w:val="en-US"/>
        </w:rPr>
        <w:t>frame</w:t>
      </w:r>
      <w:r w:rsidR="005A51AA">
        <w:rPr>
          <w:rFonts w:ascii="Times New Roman" w:hAnsi="Times New Roman" w:cs="Times New Roman"/>
          <w:lang w:val="en-US"/>
        </w:rPr>
        <w:t xml:space="preserve">) </w:t>
      </w:r>
      <w:r>
        <w:rPr>
          <w:rFonts w:ascii="Times New Roman" w:hAnsi="Times New Roman" w:cs="Times New Roman"/>
          <w:lang w:val="en-US"/>
        </w:rPr>
        <w:t xml:space="preserve">based on the use of </w:t>
      </w:r>
      <w:r w:rsidR="005A51AA">
        <w:rPr>
          <w:rFonts w:ascii="Times New Roman" w:hAnsi="Times New Roman" w:cs="Times New Roman"/>
          <w:lang w:val="en-US"/>
        </w:rPr>
        <w:t>AD</w:t>
      </w:r>
      <w:r>
        <w:rPr>
          <w:rFonts w:ascii="Times New Roman" w:hAnsi="Times New Roman" w:cs="Times New Roman"/>
          <w:lang w:val="en-US"/>
        </w:rPr>
        <w:t xml:space="preserve"> are illustrated. </w:t>
      </w:r>
      <w:r w:rsidR="00256FE7">
        <w:rPr>
          <w:rFonts w:ascii="Times New Roman" w:hAnsi="Times New Roman" w:cs="Times New Roman"/>
          <w:lang w:val="en-US"/>
        </w:rPr>
        <w:t>T</w:t>
      </w:r>
      <w:r w:rsidR="00256FE7" w:rsidRPr="00AD176A">
        <w:rPr>
          <w:rFonts w:ascii="Times New Roman" w:hAnsi="Times New Roman" w:cs="Times New Roman"/>
          <w:lang w:val="en-US"/>
        </w:rPr>
        <w:t xml:space="preserve">he </w:t>
      </w:r>
      <w:r w:rsidR="00256FE7" w:rsidRPr="00AD176A">
        <w:rPr>
          <w:rFonts w:ascii="Times New Roman" w:hAnsi="Times New Roman" w:cs="Times New Roman"/>
          <w:lang w:val="en-US"/>
        </w:rPr>
        <w:lastRenderedPageBreak/>
        <w:t xml:space="preserve">overall production strategy </w:t>
      </w:r>
      <w:r w:rsidR="00256FE7">
        <w:rPr>
          <w:rFonts w:ascii="Times New Roman" w:hAnsi="Times New Roman" w:cs="Times New Roman"/>
          <w:lang w:val="en-US"/>
        </w:rPr>
        <w:t xml:space="preserve">of the </w:t>
      </w:r>
      <w:r w:rsidR="005A51AA" w:rsidRPr="005A51AA">
        <w:rPr>
          <w:rFonts w:ascii="Times New Roman" w:hAnsi="Times New Roman" w:cs="Times New Roman"/>
          <w:i/>
          <w:lang w:val="en-US"/>
        </w:rPr>
        <w:t>frame</w:t>
      </w:r>
      <w:r w:rsidR="00256FE7">
        <w:rPr>
          <w:rFonts w:ascii="Times New Roman" w:hAnsi="Times New Roman" w:cs="Times New Roman"/>
          <w:lang w:val="en-US"/>
        </w:rPr>
        <w:t xml:space="preserve"> </w:t>
      </w:r>
      <w:r w:rsidR="00256FE7" w:rsidRPr="00AD176A">
        <w:rPr>
          <w:rFonts w:ascii="Times New Roman" w:hAnsi="Times New Roman" w:cs="Times New Roman"/>
          <w:lang w:val="en-US"/>
        </w:rPr>
        <w:t xml:space="preserve">is </w:t>
      </w:r>
      <w:r w:rsidR="005A51AA">
        <w:rPr>
          <w:rFonts w:ascii="Times New Roman" w:hAnsi="Times New Roman" w:cs="Times New Roman"/>
          <w:lang w:val="en-US"/>
        </w:rPr>
        <w:t>depicted</w:t>
      </w:r>
      <w:r w:rsidR="00256FE7">
        <w:rPr>
          <w:rFonts w:ascii="Times New Roman" w:hAnsi="Times New Roman" w:cs="Times New Roman"/>
          <w:lang w:val="en-US"/>
        </w:rPr>
        <w:t xml:space="preserve"> in Figure 3</w:t>
      </w:r>
      <w:r w:rsidR="00256FE7" w:rsidRPr="00AD176A">
        <w:rPr>
          <w:rFonts w:ascii="Times New Roman" w:hAnsi="Times New Roman" w:cs="Times New Roman"/>
          <w:lang w:val="en-US"/>
        </w:rPr>
        <w:t xml:space="preserve">. </w:t>
      </w:r>
      <w:r w:rsidR="00256FE7">
        <w:rPr>
          <w:rFonts w:ascii="Times New Roman" w:hAnsi="Times New Roman" w:cs="Times New Roman"/>
          <w:lang w:val="en-US"/>
        </w:rPr>
        <w:t xml:space="preserve">As it can be seen, the </w:t>
      </w:r>
      <w:r w:rsidR="00256FE7" w:rsidRPr="005A51AA">
        <w:rPr>
          <w:rFonts w:ascii="Times New Roman" w:hAnsi="Times New Roman" w:cs="Times New Roman"/>
          <w:i/>
          <w:lang w:val="en-US"/>
        </w:rPr>
        <w:t>frame</w:t>
      </w:r>
      <w:r w:rsidR="00256FE7">
        <w:rPr>
          <w:rFonts w:ascii="Times New Roman" w:hAnsi="Times New Roman" w:cs="Times New Roman"/>
          <w:lang w:val="en-US"/>
        </w:rPr>
        <w:t xml:space="preserve"> consists of </w:t>
      </w:r>
      <w:r w:rsidR="005A51AA">
        <w:rPr>
          <w:rFonts w:ascii="Times New Roman" w:hAnsi="Times New Roman" w:cs="Times New Roman"/>
          <w:lang w:val="en-US"/>
        </w:rPr>
        <w:t>two main</w:t>
      </w:r>
      <w:r w:rsidR="00256FE7" w:rsidRPr="00AD176A">
        <w:rPr>
          <w:rFonts w:ascii="Times New Roman" w:hAnsi="Times New Roman" w:cs="Times New Roman"/>
          <w:lang w:val="en-US"/>
        </w:rPr>
        <w:t xml:space="preserve"> </w:t>
      </w:r>
      <w:r w:rsidR="00256FE7">
        <w:rPr>
          <w:rFonts w:ascii="Times New Roman" w:hAnsi="Times New Roman" w:cs="Times New Roman"/>
          <w:lang w:val="en-US"/>
        </w:rPr>
        <w:t>“</w:t>
      </w:r>
      <w:r w:rsidR="00256FE7" w:rsidRPr="00AD176A">
        <w:rPr>
          <w:rFonts w:ascii="Times New Roman" w:hAnsi="Times New Roman" w:cs="Times New Roman"/>
          <w:lang w:val="en-US"/>
        </w:rPr>
        <w:t>products</w:t>
      </w:r>
      <w:r w:rsidR="00256FE7">
        <w:rPr>
          <w:rFonts w:ascii="Times New Roman" w:hAnsi="Times New Roman" w:cs="Times New Roman"/>
          <w:lang w:val="en-US"/>
        </w:rPr>
        <w:t>”:</w:t>
      </w:r>
      <w:r w:rsidR="00256FE7" w:rsidRPr="00AD176A">
        <w:rPr>
          <w:rFonts w:ascii="Times New Roman" w:hAnsi="Times New Roman" w:cs="Times New Roman"/>
          <w:lang w:val="en-US"/>
        </w:rPr>
        <w:t xml:space="preserve"> a database of elementary data (</w:t>
      </w:r>
      <w:r w:rsidR="00256FE7" w:rsidRPr="00741460">
        <w:rPr>
          <w:rFonts w:ascii="Times New Roman" w:hAnsi="Times New Roman" w:cs="Times New Roman"/>
          <w:i/>
          <w:lang w:val="en-US"/>
        </w:rPr>
        <w:t>frame SBS micro</w:t>
      </w:r>
      <w:r w:rsidR="00256FE7" w:rsidRPr="00AD176A">
        <w:rPr>
          <w:rFonts w:ascii="Times New Roman" w:hAnsi="Times New Roman" w:cs="Times New Roman"/>
          <w:lang w:val="en-US"/>
        </w:rPr>
        <w:t>) which allow</w:t>
      </w:r>
      <w:r w:rsidR="00256FE7">
        <w:rPr>
          <w:rFonts w:ascii="Times New Roman" w:hAnsi="Times New Roman" w:cs="Times New Roman"/>
          <w:lang w:val="en-US"/>
        </w:rPr>
        <w:t>s</w:t>
      </w:r>
      <w:r w:rsidR="00256FE7" w:rsidRPr="00AD176A">
        <w:rPr>
          <w:rFonts w:ascii="Times New Roman" w:hAnsi="Times New Roman" w:cs="Times New Roman"/>
          <w:lang w:val="en-US"/>
        </w:rPr>
        <w:t xml:space="preserve"> the estimation of </w:t>
      </w:r>
      <w:r w:rsidR="00256FE7">
        <w:rPr>
          <w:rFonts w:ascii="Times New Roman" w:hAnsi="Times New Roman" w:cs="Times New Roman"/>
          <w:lang w:val="en-US"/>
        </w:rPr>
        <w:t xml:space="preserve">the </w:t>
      </w:r>
      <w:r w:rsidR="00256FE7" w:rsidRPr="00FB06FF">
        <w:rPr>
          <w:rFonts w:ascii="Times New Roman" w:hAnsi="Times New Roman" w:cs="Times New Roman"/>
          <w:i/>
          <w:lang w:val="en-US"/>
        </w:rPr>
        <w:t xml:space="preserve">main </w:t>
      </w:r>
      <w:r w:rsidR="00256FE7">
        <w:rPr>
          <w:rFonts w:ascii="Times New Roman" w:hAnsi="Times New Roman" w:cs="Times New Roman"/>
          <w:i/>
          <w:lang w:val="en-US"/>
        </w:rPr>
        <w:t xml:space="preserve">economic aggregates </w:t>
      </w:r>
      <w:r w:rsidR="00256FE7" w:rsidRPr="00AD176A">
        <w:rPr>
          <w:rFonts w:ascii="Times New Roman" w:hAnsi="Times New Roman" w:cs="Times New Roman"/>
          <w:lang w:val="en-US"/>
        </w:rPr>
        <w:t xml:space="preserve">at any </w:t>
      </w:r>
      <w:r w:rsidR="00256FE7">
        <w:rPr>
          <w:rFonts w:ascii="Times New Roman" w:hAnsi="Times New Roman" w:cs="Times New Roman"/>
          <w:lang w:val="en-US"/>
        </w:rPr>
        <w:t>level</w:t>
      </w:r>
      <w:r w:rsidR="00256FE7" w:rsidRPr="00AD176A">
        <w:rPr>
          <w:rFonts w:ascii="Times New Roman" w:hAnsi="Times New Roman" w:cs="Times New Roman"/>
          <w:lang w:val="en-US"/>
        </w:rPr>
        <w:t xml:space="preserve"> </w:t>
      </w:r>
      <w:r w:rsidR="00256FE7">
        <w:rPr>
          <w:rFonts w:ascii="Times New Roman" w:hAnsi="Times New Roman" w:cs="Times New Roman"/>
          <w:lang w:val="en-US"/>
        </w:rPr>
        <w:t xml:space="preserve">of </w:t>
      </w:r>
      <w:r w:rsidR="00256FE7" w:rsidRPr="00AD176A">
        <w:rPr>
          <w:rFonts w:ascii="Times New Roman" w:hAnsi="Times New Roman" w:cs="Times New Roman"/>
          <w:lang w:val="en-US"/>
        </w:rPr>
        <w:t>detail</w:t>
      </w:r>
      <w:r w:rsidR="005A51AA">
        <w:rPr>
          <w:rFonts w:ascii="Times New Roman" w:hAnsi="Times New Roman" w:cs="Times New Roman"/>
          <w:lang w:val="en-US"/>
        </w:rPr>
        <w:t>, and</w:t>
      </w:r>
      <w:r w:rsidR="00256FE7" w:rsidRPr="00AD176A">
        <w:rPr>
          <w:rFonts w:ascii="Times New Roman" w:hAnsi="Times New Roman" w:cs="Times New Roman"/>
          <w:lang w:val="en-US"/>
        </w:rPr>
        <w:t xml:space="preserve"> a database of estimates (</w:t>
      </w:r>
      <w:r w:rsidR="00256FE7" w:rsidRPr="00741460">
        <w:rPr>
          <w:rFonts w:ascii="Times New Roman" w:hAnsi="Times New Roman" w:cs="Times New Roman"/>
          <w:i/>
          <w:lang w:val="en-US"/>
        </w:rPr>
        <w:t>frame SBS macro</w:t>
      </w:r>
      <w:r w:rsidR="00256FE7" w:rsidRPr="00AD176A">
        <w:rPr>
          <w:rFonts w:ascii="Times New Roman" w:hAnsi="Times New Roman" w:cs="Times New Roman"/>
          <w:lang w:val="en-US"/>
        </w:rPr>
        <w:t xml:space="preserve">) for the </w:t>
      </w:r>
      <w:r w:rsidR="00256FE7" w:rsidRPr="00136642">
        <w:rPr>
          <w:rFonts w:ascii="Times New Roman" w:hAnsi="Times New Roman" w:cs="Times New Roman"/>
          <w:i/>
          <w:lang w:val="en-US"/>
        </w:rPr>
        <w:t xml:space="preserve">components of the main </w:t>
      </w:r>
      <w:r w:rsidR="00256FE7">
        <w:rPr>
          <w:rFonts w:ascii="Times New Roman" w:hAnsi="Times New Roman" w:cs="Times New Roman"/>
          <w:i/>
          <w:lang w:val="en-US"/>
        </w:rPr>
        <w:t>economic aggregates</w:t>
      </w:r>
      <w:r w:rsidR="00256FE7" w:rsidRPr="00AD176A">
        <w:rPr>
          <w:rFonts w:ascii="Times New Roman" w:hAnsi="Times New Roman" w:cs="Times New Roman"/>
          <w:lang w:val="en-US"/>
        </w:rPr>
        <w:t xml:space="preserve">, at a detail level which is in line with the SBS Regulation. </w:t>
      </w:r>
      <w:r w:rsidR="00256FE7">
        <w:rPr>
          <w:rFonts w:ascii="Times New Roman" w:hAnsi="Times New Roman" w:cs="Times New Roman"/>
          <w:lang w:val="en-US"/>
        </w:rPr>
        <w:t>B</w:t>
      </w:r>
      <w:r w:rsidR="00256FE7" w:rsidRPr="00AD176A">
        <w:rPr>
          <w:rFonts w:ascii="Times New Roman" w:hAnsi="Times New Roman" w:cs="Times New Roman"/>
          <w:lang w:val="en-US"/>
        </w:rPr>
        <w:t xml:space="preserve">oth databases represent inputs and “constraints” for NA. </w:t>
      </w:r>
    </w:p>
    <w:p w:rsidR="00256FE7" w:rsidRPr="00AD176A" w:rsidRDefault="00256FE7" w:rsidP="00256FE7">
      <w:pPr>
        <w:spacing w:before="240"/>
        <w:rPr>
          <w:rFonts w:ascii="Times New Roman" w:hAnsi="Times New Roman" w:cs="Times New Roman"/>
          <w:sz w:val="24"/>
          <w:szCs w:val="24"/>
          <w:lang w:val="en-US"/>
        </w:rPr>
      </w:pPr>
      <w:r w:rsidRPr="00AD176A">
        <w:rPr>
          <w:rFonts w:ascii="Times New Roman" w:hAnsi="Times New Roman" w:cs="Times New Roman"/>
          <w:i/>
          <w:sz w:val="24"/>
          <w:szCs w:val="24"/>
          <w:lang w:val="en-US"/>
        </w:rPr>
        <w:t xml:space="preserve">Figure </w:t>
      </w:r>
      <w:r>
        <w:rPr>
          <w:rFonts w:ascii="Times New Roman" w:hAnsi="Times New Roman" w:cs="Times New Roman"/>
          <w:i/>
          <w:sz w:val="24"/>
          <w:szCs w:val="24"/>
          <w:lang w:val="en-US"/>
        </w:rPr>
        <w:t>3</w:t>
      </w:r>
      <w:r w:rsidRPr="00AD176A">
        <w:rPr>
          <w:rFonts w:ascii="Times New Roman" w:hAnsi="Times New Roman" w:cs="Times New Roman"/>
          <w:i/>
          <w:sz w:val="24"/>
          <w:szCs w:val="24"/>
          <w:lang w:val="en-US"/>
        </w:rPr>
        <w:t>: The overall production process of the frame</w:t>
      </w:r>
    </w:p>
    <w:p w:rsidR="00256FE7" w:rsidRPr="003E231C" w:rsidRDefault="00256FE7" w:rsidP="00256FE7">
      <w:pPr>
        <w:spacing w:after="0" w:line="240" w:lineRule="auto"/>
        <w:rPr>
          <w:rFonts w:ascii="Times New Roman" w:eastAsia="Times New Roman" w:hAnsi="Times New Roman" w:cs="Times New Roman"/>
          <w:color w:val="000000"/>
          <w:sz w:val="24"/>
          <w:szCs w:val="24"/>
          <w:lang w:val="en-US" w:eastAsia="it-IT"/>
        </w:rPr>
      </w:pPr>
      <w:r w:rsidRPr="00095787">
        <w:rPr>
          <w:noProof/>
          <w:lang w:eastAsia="it-IT"/>
        </w:rPr>
        <w:drawing>
          <wp:inline distT="0" distB="0" distL="0" distR="0" wp14:anchorId="642D99BD" wp14:editId="446FE04B">
            <wp:extent cx="3811219" cy="37109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817952" cy="3717481"/>
                    </a:xfrm>
                    <a:prstGeom prst="rect">
                      <a:avLst/>
                    </a:prstGeom>
                    <a:noFill/>
                    <a:ln>
                      <a:noFill/>
                    </a:ln>
                  </pic:spPr>
                </pic:pic>
              </a:graphicData>
            </a:graphic>
          </wp:inline>
        </w:drawing>
      </w:r>
    </w:p>
    <w:p w:rsidR="006B59D0" w:rsidRDefault="006B59D0" w:rsidP="006B59D0">
      <w:pPr>
        <w:pStyle w:val="Default"/>
        <w:spacing w:line="360" w:lineRule="auto"/>
        <w:jc w:val="both"/>
        <w:rPr>
          <w:rFonts w:ascii="Times New Roman" w:hAnsi="Times New Roman" w:cs="Times New Roman"/>
          <w:lang w:val="en-US"/>
        </w:rPr>
      </w:pPr>
      <w:r>
        <w:rPr>
          <w:rFonts w:ascii="Times New Roman" w:hAnsi="Times New Roman" w:cs="Times New Roman"/>
          <w:lang w:val="en-US"/>
        </w:rPr>
        <w:t>Therefore, i</w:t>
      </w:r>
      <w:r w:rsidRPr="000448E0">
        <w:rPr>
          <w:rFonts w:ascii="Times New Roman" w:hAnsi="Times New Roman" w:cs="Times New Roman"/>
          <w:lang w:val="en-US"/>
        </w:rPr>
        <w:t xml:space="preserve">n the short term, the </w:t>
      </w:r>
      <w:r w:rsidRPr="000448E0">
        <w:rPr>
          <w:rFonts w:ascii="Times New Roman" w:hAnsi="Times New Roman" w:cs="Times New Roman"/>
          <w:i/>
          <w:lang w:val="en-US"/>
        </w:rPr>
        <w:t>frame</w:t>
      </w:r>
      <w:r w:rsidRPr="000448E0">
        <w:rPr>
          <w:rFonts w:ascii="Times New Roman" w:hAnsi="Times New Roman" w:cs="Times New Roman"/>
          <w:lang w:val="en-US"/>
        </w:rPr>
        <w:t xml:space="preserve"> will serve as an intermediate output ensuring high levels of consistency between annual </w:t>
      </w:r>
      <w:r w:rsidR="0051237C">
        <w:rPr>
          <w:rFonts w:ascii="Times New Roman" w:hAnsi="Times New Roman" w:cs="Times New Roman"/>
          <w:lang w:val="en-US"/>
        </w:rPr>
        <w:t xml:space="preserve">business </w:t>
      </w:r>
      <w:r w:rsidRPr="000448E0">
        <w:rPr>
          <w:rFonts w:ascii="Times New Roman" w:hAnsi="Times New Roman" w:cs="Times New Roman"/>
          <w:lang w:val="en-US"/>
        </w:rPr>
        <w:t>statistics and NA, as</w:t>
      </w:r>
      <w:r>
        <w:rPr>
          <w:rFonts w:ascii="Times New Roman" w:hAnsi="Times New Roman" w:cs="Times New Roman"/>
          <w:lang w:val="en-US"/>
        </w:rPr>
        <w:t xml:space="preserve"> early as the 2011 NA Benchmark</w:t>
      </w:r>
      <w:r w:rsidRPr="000448E0">
        <w:rPr>
          <w:rFonts w:ascii="Times New Roman" w:hAnsi="Times New Roman" w:cs="Times New Roman"/>
          <w:lang w:val="en-US"/>
        </w:rPr>
        <w:t>.</w:t>
      </w:r>
      <w:r>
        <w:rPr>
          <w:rFonts w:ascii="Times New Roman" w:hAnsi="Times New Roman" w:cs="Times New Roman"/>
          <w:lang w:val="en-US"/>
        </w:rPr>
        <w:t xml:space="preserve"> </w:t>
      </w:r>
      <w:r w:rsidRPr="000448E0">
        <w:rPr>
          <w:rFonts w:ascii="Times New Roman" w:hAnsi="Times New Roman" w:cs="Times New Roman"/>
          <w:lang w:val="en-US"/>
        </w:rPr>
        <w:t xml:space="preserve">In the medium-long term, the </w:t>
      </w:r>
      <w:r w:rsidRPr="000448E0">
        <w:rPr>
          <w:rFonts w:ascii="Times New Roman" w:hAnsi="Times New Roman" w:cs="Times New Roman"/>
          <w:i/>
          <w:lang w:val="en-US"/>
        </w:rPr>
        <w:t>frame</w:t>
      </w:r>
      <w:r w:rsidRPr="000448E0">
        <w:rPr>
          <w:rFonts w:ascii="Times New Roman" w:hAnsi="Times New Roman" w:cs="Times New Roman"/>
          <w:lang w:val="en-US"/>
        </w:rPr>
        <w:t xml:space="preserve"> is expected to have a strong impact on the overall system of the economic statistics</w:t>
      </w:r>
      <w:r w:rsidR="0051237C">
        <w:rPr>
          <w:rFonts w:ascii="Times New Roman" w:hAnsi="Times New Roman" w:cs="Times New Roman"/>
          <w:lang w:val="en-US"/>
        </w:rPr>
        <w:t>:</w:t>
      </w:r>
      <w:r w:rsidRPr="000448E0">
        <w:rPr>
          <w:rFonts w:ascii="Times New Roman" w:hAnsi="Times New Roman" w:cs="Times New Roman"/>
          <w:lang w:val="en-US"/>
        </w:rPr>
        <w:t xml:space="preserve"> </w:t>
      </w:r>
      <w:r w:rsidR="0051237C">
        <w:rPr>
          <w:rFonts w:ascii="Times New Roman" w:hAnsi="Times New Roman" w:cs="Times New Roman"/>
          <w:lang w:val="en-US"/>
        </w:rPr>
        <w:t>a</w:t>
      </w:r>
      <w:r w:rsidRPr="000448E0">
        <w:rPr>
          <w:rFonts w:ascii="Times New Roman" w:hAnsi="Times New Roman" w:cs="Times New Roman"/>
          <w:lang w:val="en-US"/>
        </w:rPr>
        <w:t xml:space="preserve">ctually, the </w:t>
      </w:r>
      <w:r w:rsidRPr="000448E0">
        <w:rPr>
          <w:rFonts w:ascii="Times New Roman" w:hAnsi="Times New Roman" w:cs="Times New Roman"/>
          <w:i/>
          <w:lang w:val="en-US"/>
        </w:rPr>
        <w:t>frame</w:t>
      </w:r>
      <w:r w:rsidRPr="000448E0">
        <w:rPr>
          <w:rFonts w:ascii="Times New Roman" w:hAnsi="Times New Roman" w:cs="Times New Roman"/>
          <w:lang w:val="en-US"/>
        </w:rPr>
        <w:t xml:space="preserve"> will be the basis of reference for the other economic surveys on enterprises</w:t>
      </w:r>
      <w:r>
        <w:rPr>
          <w:rFonts w:ascii="Times New Roman" w:hAnsi="Times New Roman" w:cs="Times New Roman"/>
          <w:lang w:val="en-US"/>
        </w:rPr>
        <w:t xml:space="preserve">, </w:t>
      </w:r>
      <w:r w:rsidR="00475680">
        <w:rPr>
          <w:rFonts w:ascii="Times New Roman" w:hAnsi="Times New Roman" w:cs="Times New Roman"/>
          <w:lang w:val="en-US"/>
        </w:rPr>
        <w:t xml:space="preserve">i.e. for a </w:t>
      </w:r>
      <w:r w:rsidR="00475680">
        <w:rPr>
          <w:rFonts w:ascii="Times New Roman" w:hAnsi="Times New Roman" w:cs="Times New Roman"/>
          <w:lang w:val="en-US"/>
        </w:rPr>
        <w:t>more</w:t>
      </w:r>
      <w:r w:rsidR="00475680" w:rsidRPr="000448E0">
        <w:rPr>
          <w:rFonts w:ascii="Times New Roman" w:hAnsi="Times New Roman" w:cs="Times New Roman"/>
          <w:lang w:val="en-US"/>
        </w:rPr>
        <w:t xml:space="preserve"> integrated </w:t>
      </w:r>
      <w:r w:rsidRPr="000448E0">
        <w:rPr>
          <w:rFonts w:ascii="Times New Roman" w:hAnsi="Times New Roman" w:cs="Times New Roman"/>
          <w:lang w:val="en-US"/>
        </w:rPr>
        <w:t>design of the main current structural economic surveys</w:t>
      </w:r>
      <w:r>
        <w:rPr>
          <w:rFonts w:ascii="Times New Roman" w:hAnsi="Times New Roman" w:cs="Times New Roman"/>
          <w:lang w:val="en-US"/>
        </w:rPr>
        <w:t>.</w:t>
      </w:r>
    </w:p>
    <w:p w:rsidR="006B59D0" w:rsidRPr="00431EBC" w:rsidRDefault="006B59D0" w:rsidP="006B59D0">
      <w:pPr>
        <w:pStyle w:val="Default"/>
        <w:spacing w:line="360" w:lineRule="auto"/>
        <w:jc w:val="both"/>
        <w:rPr>
          <w:rFonts w:ascii="Times New Roman" w:hAnsi="Times New Roman" w:cs="Times New Roman"/>
          <w:lang w:val="en-US"/>
        </w:rPr>
      </w:pPr>
      <w:r w:rsidRPr="00431EBC">
        <w:rPr>
          <w:rFonts w:ascii="Times New Roman" w:hAnsi="Times New Roman" w:cs="Times New Roman"/>
          <w:lang w:val="en-US"/>
        </w:rPr>
        <w:t>Future activities will focus mainly on improving the statistical use of</w:t>
      </w:r>
      <w:r>
        <w:rPr>
          <w:rFonts w:ascii="Times New Roman" w:hAnsi="Times New Roman" w:cs="Times New Roman"/>
          <w:lang w:val="en-US"/>
        </w:rPr>
        <w:t xml:space="preserve"> AD </w:t>
      </w:r>
      <w:r w:rsidRPr="00431EBC">
        <w:rPr>
          <w:rFonts w:ascii="Times New Roman" w:hAnsi="Times New Roman" w:cs="Times New Roman"/>
          <w:lang w:val="en-US"/>
        </w:rPr>
        <w:t xml:space="preserve">sources, especially in </w:t>
      </w:r>
      <w:r>
        <w:rPr>
          <w:rFonts w:ascii="Times New Roman" w:hAnsi="Times New Roman" w:cs="Times New Roman"/>
          <w:lang w:val="en-US"/>
        </w:rPr>
        <w:t xml:space="preserve">relation to inferential aspects, </w:t>
      </w:r>
      <w:r w:rsidRPr="00431EBC">
        <w:rPr>
          <w:rFonts w:ascii="Times New Roman" w:hAnsi="Times New Roman" w:cs="Times New Roman"/>
          <w:lang w:val="en-US"/>
        </w:rPr>
        <w:t xml:space="preserve">as the use of </w:t>
      </w:r>
      <w:r>
        <w:rPr>
          <w:rFonts w:ascii="Times New Roman" w:hAnsi="Times New Roman" w:cs="Times New Roman"/>
          <w:lang w:val="en-US"/>
        </w:rPr>
        <w:t>AD</w:t>
      </w:r>
      <w:r w:rsidRPr="00431EBC">
        <w:rPr>
          <w:rFonts w:ascii="Times New Roman" w:hAnsi="Times New Roman" w:cs="Times New Roman"/>
          <w:lang w:val="en-US"/>
        </w:rPr>
        <w:t xml:space="preserve"> </w:t>
      </w:r>
      <w:r>
        <w:rPr>
          <w:rFonts w:ascii="Times New Roman" w:hAnsi="Times New Roman" w:cs="Times New Roman"/>
          <w:lang w:val="en-US"/>
        </w:rPr>
        <w:t xml:space="preserve">in </w:t>
      </w:r>
      <w:r w:rsidRPr="00431EBC">
        <w:rPr>
          <w:rFonts w:ascii="Times New Roman" w:hAnsi="Times New Roman" w:cs="Times New Roman"/>
          <w:lang w:val="en-US"/>
        </w:rPr>
        <w:t>Offici</w:t>
      </w:r>
      <w:r>
        <w:rPr>
          <w:rFonts w:ascii="Times New Roman" w:hAnsi="Times New Roman" w:cs="Times New Roman"/>
          <w:lang w:val="en-US"/>
        </w:rPr>
        <w:t>a</w:t>
      </w:r>
      <w:r w:rsidRPr="00431EBC">
        <w:rPr>
          <w:rFonts w:ascii="Times New Roman" w:hAnsi="Times New Roman" w:cs="Times New Roman"/>
          <w:lang w:val="en-US"/>
        </w:rPr>
        <w:t>l Statistics</w:t>
      </w:r>
      <w:r>
        <w:rPr>
          <w:rFonts w:ascii="Times New Roman" w:hAnsi="Times New Roman" w:cs="Times New Roman"/>
          <w:lang w:val="en-US"/>
        </w:rPr>
        <w:t xml:space="preserve"> requires a new framework for evaluating the accuracy of parameters estimates. Furthermore, the need of and integrated use of the </w:t>
      </w:r>
      <w:r w:rsidRPr="00431EBC">
        <w:rPr>
          <w:rFonts w:ascii="Times New Roman" w:hAnsi="Times New Roman" w:cs="Times New Roman"/>
          <w:i/>
          <w:lang w:val="en-US"/>
        </w:rPr>
        <w:t>frame</w:t>
      </w:r>
      <w:r>
        <w:rPr>
          <w:rFonts w:ascii="Times New Roman" w:hAnsi="Times New Roman" w:cs="Times New Roman"/>
          <w:lang w:val="en-US"/>
        </w:rPr>
        <w:t xml:space="preserve"> in the overall economic statistics system is stimulating the research and development of solutions for the efficient and consistent estimation of structural variables from different sources.</w:t>
      </w:r>
    </w:p>
    <w:p w:rsidR="003E694C" w:rsidRPr="005D3F0A" w:rsidRDefault="003E694C" w:rsidP="00431EBC">
      <w:pPr>
        <w:spacing w:before="240"/>
        <w:jc w:val="both"/>
        <w:rPr>
          <w:rFonts w:ascii="Times New Roman" w:hAnsi="Times New Roman" w:cs="Times New Roman"/>
          <w:b/>
          <w:sz w:val="24"/>
          <w:szCs w:val="24"/>
        </w:rPr>
      </w:pPr>
      <w:proofErr w:type="spellStart"/>
      <w:r w:rsidRPr="005D3F0A">
        <w:rPr>
          <w:rFonts w:ascii="Times New Roman" w:hAnsi="Times New Roman" w:cs="Times New Roman"/>
          <w:b/>
          <w:sz w:val="24"/>
          <w:szCs w:val="24"/>
        </w:rPr>
        <w:t>References</w:t>
      </w:r>
      <w:proofErr w:type="spellEnd"/>
    </w:p>
    <w:p w:rsidR="003E694C" w:rsidRPr="005D3F0A" w:rsidRDefault="00943FB0" w:rsidP="003E694C">
      <w:pPr>
        <w:spacing w:after="120"/>
        <w:jc w:val="both"/>
        <w:rPr>
          <w:rFonts w:ascii="Times New Roman" w:hAnsi="Times New Roman" w:cs="Times New Roman"/>
          <w:sz w:val="24"/>
          <w:szCs w:val="24"/>
          <w:lang w:val="en-GB"/>
        </w:rPr>
      </w:pPr>
      <w:r w:rsidRPr="005D3F0A">
        <w:rPr>
          <w:rFonts w:ascii="Times New Roman" w:hAnsi="Times New Roman" w:cs="Times New Roman"/>
          <w:sz w:val="24"/>
          <w:szCs w:val="24"/>
        </w:rPr>
        <w:t>[</w:t>
      </w:r>
      <w:r w:rsidR="008137F2" w:rsidRPr="005D3F0A">
        <w:rPr>
          <w:rFonts w:ascii="Times New Roman" w:hAnsi="Times New Roman" w:cs="Times New Roman"/>
          <w:sz w:val="24"/>
          <w:szCs w:val="24"/>
        </w:rPr>
        <w:t>1</w:t>
      </w:r>
      <w:r w:rsidRPr="005D3F0A">
        <w:rPr>
          <w:rFonts w:ascii="Times New Roman" w:hAnsi="Times New Roman" w:cs="Times New Roman"/>
          <w:sz w:val="24"/>
          <w:szCs w:val="24"/>
        </w:rPr>
        <w:t xml:space="preserve">] </w:t>
      </w:r>
      <w:r w:rsidR="003E694C" w:rsidRPr="005D3F0A">
        <w:rPr>
          <w:rFonts w:ascii="Times New Roman" w:hAnsi="Times New Roman" w:cs="Times New Roman"/>
          <w:sz w:val="24"/>
          <w:szCs w:val="24"/>
        </w:rPr>
        <w:t>Casciano</w:t>
      </w:r>
      <w:r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C., De Giorgi</w:t>
      </w:r>
      <w:r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V., Luzi</w:t>
      </w:r>
      <w:r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O., O</w:t>
      </w:r>
      <w:r w:rsidR="007F610F" w:rsidRPr="005D3F0A">
        <w:rPr>
          <w:rFonts w:ascii="Times New Roman" w:hAnsi="Times New Roman" w:cs="Times New Roman"/>
          <w:sz w:val="24"/>
          <w:szCs w:val="24"/>
        </w:rPr>
        <w:t>ropallo</w:t>
      </w:r>
      <w:r w:rsidRPr="005D3F0A">
        <w:rPr>
          <w:rFonts w:ascii="Times New Roman" w:hAnsi="Times New Roman" w:cs="Times New Roman"/>
          <w:sz w:val="24"/>
          <w:szCs w:val="24"/>
        </w:rPr>
        <w:t>,</w:t>
      </w:r>
      <w:r w:rsidR="007F610F" w:rsidRPr="005D3F0A">
        <w:rPr>
          <w:rFonts w:ascii="Times New Roman" w:hAnsi="Times New Roman" w:cs="Times New Roman"/>
          <w:sz w:val="24"/>
          <w:szCs w:val="24"/>
        </w:rPr>
        <w:t xml:space="preserve"> F., Seri</w:t>
      </w:r>
      <w:r w:rsidRPr="005D3F0A">
        <w:rPr>
          <w:rFonts w:ascii="Times New Roman" w:hAnsi="Times New Roman" w:cs="Times New Roman"/>
          <w:sz w:val="24"/>
          <w:szCs w:val="24"/>
        </w:rPr>
        <w:t>,</w:t>
      </w:r>
      <w:r w:rsidR="007F610F" w:rsidRPr="005D3F0A">
        <w:rPr>
          <w:rFonts w:ascii="Times New Roman" w:hAnsi="Times New Roman" w:cs="Times New Roman"/>
          <w:sz w:val="24"/>
          <w:szCs w:val="24"/>
        </w:rPr>
        <w:t xml:space="preserve"> G., </w:t>
      </w:r>
      <w:proofErr w:type="spellStart"/>
      <w:r w:rsidR="007F610F" w:rsidRPr="005D3F0A">
        <w:rPr>
          <w:rFonts w:ascii="Times New Roman" w:hAnsi="Times New Roman" w:cs="Times New Roman"/>
          <w:sz w:val="24"/>
          <w:szCs w:val="24"/>
        </w:rPr>
        <w:t>Siesto</w:t>
      </w:r>
      <w:proofErr w:type="spellEnd"/>
      <w:r w:rsidRPr="005D3F0A">
        <w:rPr>
          <w:rFonts w:ascii="Times New Roman" w:hAnsi="Times New Roman" w:cs="Times New Roman"/>
          <w:sz w:val="24"/>
          <w:szCs w:val="24"/>
        </w:rPr>
        <w:t>,</w:t>
      </w:r>
      <w:r w:rsidR="007F610F" w:rsidRPr="005D3F0A">
        <w:rPr>
          <w:rFonts w:ascii="Times New Roman" w:hAnsi="Times New Roman" w:cs="Times New Roman"/>
          <w:sz w:val="24"/>
          <w:szCs w:val="24"/>
        </w:rPr>
        <w:t xml:space="preserve"> G. </w:t>
      </w:r>
      <w:r w:rsidR="003E694C" w:rsidRPr="005D3F0A">
        <w:rPr>
          <w:rFonts w:ascii="Times New Roman" w:hAnsi="Times New Roman" w:cs="Times New Roman"/>
          <w:sz w:val="24"/>
          <w:szCs w:val="24"/>
        </w:rPr>
        <w:t xml:space="preserve">(2011). </w:t>
      </w:r>
      <w:r w:rsidR="003E694C" w:rsidRPr="005D3F0A">
        <w:rPr>
          <w:rFonts w:ascii="Times New Roman" w:hAnsi="Times New Roman" w:cs="Times New Roman"/>
          <w:i/>
          <w:sz w:val="24"/>
          <w:szCs w:val="24"/>
          <w:lang w:val="en-US"/>
        </w:rPr>
        <w:t xml:space="preserve">Combining administrative and survey data: potential benefits and impact on editing and imputation for a </w:t>
      </w:r>
      <w:r w:rsidR="003E694C" w:rsidRPr="005D3F0A">
        <w:rPr>
          <w:rFonts w:ascii="Times New Roman" w:hAnsi="Times New Roman" w:cs="Times New Roman"/>
          <w:i/>
          <w:sz w:val="24"/>
          <w:szCs w:val="24"/>
          <w:lang w:val="en-US"/>
        </w:rPr>
        <w:lastRenderedPageBreak/>
        <w:t>structural business survey</w:t>
      </w:r>
      <w:r w:rsidR="003E694C" w:rsidRPr="005D3F0A">
        <w:rPr>
          <w:rFonts w:ascii="Times New Roman" w:hAnsi="Times New Roman" w:cs="Times New Roman"/>
          <w:sz w:val="24"/>
          <w:szCs w:val="24"/>
          <w:lang w:val="en-US"/>
        </w:rPr>
        <w:t xml:space="preserve">. UNECE Work Session on Statistical Data Editing, </w:t>
      </w:r>
      <w:r w:rsidR="003E694C" w:rsidRPr="005D3F0A">
        <w:rPr>
          <w:rFonts w:ascii="Times New Roman" w:hAnsi="Times New Roman" w:cs="Times New Roman"/>
          <w:sz w:val="24"/>
          <w:szCs w:val="24"/>
          <w:lang w:val="en-GB"/>
        </w:rPr>
        <w:t>Ljubljana, Slovenia, 9-11 May.</w:t>
      </w:r>
    </w:p>
    <w:p w:rsidR="003E694C" w:rsidRPr="005D3F0A" w:rsidRDefault="008137F2" w:rsidP="003E694C">
      <w:pPr>
        <w:spacing w:after="120"/>
        <w:jc w:val="both"/>
        <w:rPr>
          <w:rFonts w:ascii="Times New Roman" w:hAnsi="Times New Roman" w:cs="Times New Roman"/>
          <w:sz w:val="24"/>
          <w:szCs w:val="24"/>
          <w:lang w:val="en-US"/>
        </w:rPr>
      </w:pPr>
      <w:r w:rsidRPr="005D3F0A">
        <w:rPr>
          <w:rFonts w:ascii="Times New Roman" w:hAnsi="Times New Roman" w:cs="Times New Roman"/>
          <w:sz w:val="24"/>
          <w:szCs w:val="24"/>
        </w:rPr>
        <w:t>[2</w:t>
      </w:r>
      <w:r w:rsidR="00943FB0" w:rsidRPr="005D3F0A">
        <w:rPr>
          <w:rFonts w:ascii="Times New Roman" w:hAnsi="Times New Roman" w:cs="Times New Roman"/>
          <w:sz w:val="24"/>
          <w:szCs w:val="24"/>
        </w:rPr>
        <w:t xml:space="preserve">] </w:t>
      </w:r>
      <w:r w:rsidR="003E694C" w:rsidRPr="005D3F0A">
        <w:rPr>
          <w:rFonts w:ascii="Times New Roman" w:hAnsi="Times New Roman" w:cs="Times New Roman"/>
          <w:sz w:val="24"/>
          <w:szCs w:val="24"/>
        </w:rPr>
        <w:t>De Giorgi</w:t>
      </w:r>
      <w:r w:rsidR="00943FB0"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V., </w:t>
      </w:r>
      <w:proofErr w:type="spellStart"/>
      <w:r w:rsidR="003E694C" w:rsidRPr="005D3F0A">
        <w:rPr>
          <w:rFonts w:ascii="Times New Roman" w:hAnsi="Times New Roman" w:cs="Times New Roman"/>
          <w:sz w:val="24"/>
          <w:szCs w:val="24"/>
        </w:rPr>
        <w:t>Guarnera</w:t>
      </w:r>
      <w:proofErr w:type="spellEnd"/>
      <w:r w:rsidR="00943FB0"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U., Luzi</w:t>
      </w:r>
      <w:r w:rsidR="00943FB0"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O., Rinaldi</w:t>
      </w:r>
      <w:r w:rsidR="00943FB0"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M., Seri</w:t>
      </w:r>
      <w:r w:rsidR="00943FB0" w:rsidRPr="005D3F0A">
        <w:rPr>
          <w:rFonts w:ascii="Times New Roman" w:hAnsi="Times New Roman" w:cs="Times New Roman"/>
          <w:sz w:val="24"/>
          <w:szCs w:val="24"/>
        </w:rPr>
        <w:t>,</w:t>
      </w:r>
      <w:r w:rsidR="003E694C" w:rsidRPr="005D3F0A">
        <w:rPr>
          <w:rFonts w:ascii="Times New Roman" w:hAnsi="Times New Roman" w:cs="Times New Roman"/>
          <w:sz w:val="24"/>
          <w:szCs w:val="24"/>
        </w:rPr>
        <w:t xml:space="preserve"> G. (2011). </w:t>
      </w:r>
      <w:r w:rsidR="003E694C" w:rsidRPr="005D3F0A">
        <w:rPr>
          <w:rFonts w:ascii="Times New Roman" w:hAnsi="Times New Roman" w:cs="Times New Roman"/>
          <w:i/>
          <w:sz w:val="24"/>
          <w:szCs w:val="24"/>
          <w:lang w:val="en-US"/>
        </w:rPr>
        <w:t>Estimating structural business statistics based on administrative data: the case of the Italian small and medium enterprises</w:t>
      </w:r>
      <w:r w:rsidR="003E694C" w:rsidRPr="005D3F0A">
        <w:rPr>
          <w:rFonts w:ascii="Times New Roman" w:hAnsi="Times New Roman" w:cs="Times New Roman"/>
          <w:sz w:val="24"/>
          <w:szCs w:val="24"/>
          <w:lang w:val="en-US"/>
        </w:rPr>
        <w:t>, European Establishment Statistics Workshop (EESW11), Neuchatel, 12-14 Se</w:t>
      </w:r>
      <w:r w:rsidR="00943FB0" w:rsidRPr="005D3F0A">
        <w:rPr>
          <w:rFonts w:ascii="Times New Roman" w:hAnsi="Times New Roman" w:cs="Times New Roman"/>
          <w:sz w:val="24"/>
          <w:szCs w:val="24"/>
          <w:lang w:val="en-US"/>
        </w:rPr>
        <w:t>ptember</w:t>
      </w:r>
      <w:r w:rsidR="003E694C" w:rsidRPr="005D3F0A">
        <w:rPr>
          <w:rFonts w:ascii="Times New Roman" w:hAnsi="Times New Roman" w:cs="Times New Roman"/>
          <w:sz w:val="24"/>
          <w:szCs w:val="24"/>
          <w:lang w:val="en-US"/>
        </w:rPr>
        <w:t>.</w:t>
      </w:r>
    </w:p>
    <w:p w:rsidR="003E694C" w:rsidRPr="005D3F0A" w:rsidRDefault="00943FB0" w:rsidP="003E694C">
      <w:pPr>
        <w:spacing w:after="120"/>
        <w:jc w:val="both"/>
        <w:rPr>
          <w:rFonts w:ascii="Times New Roman" w:hAnsi="Times New Roman" w:cs="Times New Roman"/>
          <w:color w:val="000000"/>
          <w:sz w:val="24"/>
          <w:szCs w:val="24"/>
          <w:lang w:val="en-US"/>
        </w:rPr>
      </w:pPr>
      <w:r w:rsidRPr="005D3F0A">
        <w:rPr>
          <w:rFonts w:ascii="Times New Roman" w:hAnsi="Times New Roman" w:cs="Times New Roman"/>
          <w:sz w:val="24"/>
          <w:szCs w:val="24"/>
        </w:rPr>
        <w:t>[</w:t>
      </w:r>
      <w:r w:rsidR="008137F2" w:rsidRPr="005D3F0A">
        <w:rPr>
          <w:rFonts w:ascii="Times New Roman" w:hAnsi="Times New Roman" w:cs="Times New Roman"/>
          <w:sz w:val="24"/>
          <w:szCs w:val="24"/>
        </w:rPr>
        <w:t>3</w:t>
      </w:r>
      <w:r w:rsidRPr="005D3F0A">
        <w:rPr>
          <w:rFonts w:ascii="Times New Roman" w:hAnsi="Times New Roman" w:cs="Times New Roman"/>
          <w:sz w:val="24"/>
          <w:szCs w:val="24"/>
        </w:rPr>
        <w:t xml:space="preserve">] </w:t>
      </w:r>
      <w:r w:rsidR="003E694C" w:rsidRPr="005D3F0A">
        <w:rPr>
          <w:rFonts w:ascii="Times New Roman" w:hAnsi="Times New Roman" w:cs="Times New Roman"/>
          <w:color w:val="000000"/>
          <w:sz w:val="24"/>
          <w:szCs w:val="24"/>
        </w:rPr>
        <w:t xml:space="preserve">Di Zio, </w:t>
      </w:r>
      <w:r w:rsidR="00AD5FC1" w:rsidRPr="005D3F0A">
        <w:rPr>
          <w:rFonts w:ascii="Times New Roman" w:hAnsi="Times New Roman" w:cs="Times New Roman"/>
          <w:color w:val="000000"/>
          <w:sz w:val="24"/>
          <w:szCs w:val="24"/>
        </w:rPr>
        <w:t xml:space="preserve">M., </w:t>
      </w:r>
      <w:proofErr w:type="spellStart"/>
      <w:r w:rsidR="003E694C" w:rsidRPr="005D3F0A">
        <w:rPr>
          <w:rFonts w:ascii="Times New Roman" w:hAnsi="Times New Roman" w:cs="Times New Roman"/>
          <w:color w:val="000000"/>
          <w:sz w:val="24"/>
          <w:szCs w:val="24"/>
        </w:rPr>
        <w:t>Guarnera</w:t>
      </w:r>
      <w:proofErr w:type="spellEnd"/>
      <w:r w:rsidR="003E694C" w:rsidRPr="005D3F0A">
        <w:rPr>
          <w:rFonts w:ascii="Times New Roman" w:hAnsi="Times New Roman" w:cs="Times New Roman"/>
          <w:color w:val="000000"/>
          <w:sz w:val="24"/>
          <w:szCs w:val="24"/>
        </w:rPr>
        <w:t xml:space="preserve">, </w:t>
      </w:r>
      <w:r w:rsidR="00AD5FC1" w:rsidRPr="005D3F0A">
        <w:rPr>
          <w:rFonts w:ascii="Times New Roman" w:hAnsi="Times New Roman" w:cs="Times New Roman"/>
          <w:color w:val="000000"/>
          <w:sz w:val="24"/>
          <w:szCs w:val="24"/>
        </w:rPr>
        <w:t xml:space="preserve">U., </w:t>
      </w:r>
      <w:proofErr w:type="spellStart"/>
      <w:r w:rsidR="003E694C" w:rsidRPr="005D3F0A">
        <w:rPr>
          <w:rFonts w:ascii="Times New Roman" w:hAnsi="Times New Roman" w:cs="Times New Roman"/>
          <w:color w:val="000000"/>
          <w:sz w:val="24"/>
          <w:szCs w:val="24"/>
        </w:rPr>
        <w:t>Varriale</w:t>
      </w:r>
      <w:proofErr w:type="spellEnd"/>
      <w:r w:rsidR="003E694C" w:rsidRPr="005D3F0A">
        <w:rPr>
          <w:rFonts w:ascii="Times New Roman" w:hAnsi="Times New Roman" w:cs="Times New Roman"/>
          <w:color w:val="000000"/>
          <w:sz w:val="24"/>
          <w:szCs w:val="24"/>
        </w:rPr>
        <w:t xml:space="preserve"> </w:t>
      </w:r>
      <w:r w:rsidR="00AD5FC1" w:rsidRPr="005D3F0A">
        <w:rPr>
          <w:rFonts w:ascii="Times New Roman" w:hAnsi="Times New Roman" w:cs="Times New Roman"/>
          <w:color w:val="000000"/>
          <w:sz w:val="24"/>
          <w:szCs w:val="24"/>
        </w:rPr>
        <w:t xml:space="preserve">R. </w:t>
      </w:r>
      <w:r w:rsidR="003E694C" w:rsidRPr="005D3F0A">
        <w:rPr>
          <w:rFonts w:ascii="Times New Roman" w:hAnsi="Times New Roman" w:cs="Times New Roman"/>
          <w:color w:val="000000"/>
          <w:sz w:val="24"/>
          <w:szCs w:val="24"/>
        </w:rPr>
        <w:t xml:space="preserve">(2014). </w:t>
      </w:r>
      <w:r w:rsidR="003E694C" w:rsidRPr="005D3F0A">
        <w:rPr>
          <w:rFonts w:ascii="Times New Roman" w:hAnsi="Times New Roman" w:cs="Times New Roman"/>
          <w:i/>
          <w:color w:val="000000"/>
          <w:sz w:val="24"/>
          <w:szCs w:val="24"/>
          <w:lang w:val="en-US"/>
        </w:rPr>
        <w:t>Imputation with multi-source data: the case of Italian SBS</w:t>
      </w:r>
      <w:r w:rsidR="00AD5FC1" w:rsidRPr="005D3F0A">
        <w:rPr>
          <w:rFonts w:ascii="Times New Roman" w:hAnsi="Times New Roman" w:cs="Times New Roman"/>
          <w:i/>
          <w:color w:val="000000"/>
          <w:sz w:val="24"/>
          <w:szCs w:val="24"/>
          <w:lang w:val="en-US"/>
        </w:rPr>
        <w:t>.</w:t>
      </w:r>
      <w:r w:rsidR="003E694C" w:rsidRPr="005D3F0A">
        <w:rPr>
          <w:rFonts w:ascii="Times New Roman" w:hAnsi="Times New Roman" w:cs="Times New Roman"/>
          <w:color w:val="000000"/>
          <w:sz w:val="24"/>
          <w:szCs w:val="24"/>
          <w:lang w:val="en-US"/>
        </w:rPr>
        <w:t xml:space="preserve"> </w:t>
      </w:r>
      <w:r w:rsidR="00AD5FC1" w:rsidRPr="005D3F0A">
        <w:rPr>
          <w:rFonts w:ascii="Times New Roman" w:hAnsi="Times New Roman" w:cs="Times New Roman"/>
          <w:color w:val="000000"/>
          <w:sz w:val="24"/>
          <w:szCs w:val="24"/>
          <w:lang w:val="en-US"/>
        </w:rPr>
        <w:t>P</w:t>
      </w:r>
      <w:r w:rsidR="003E694C" w:rsidRPr="005D3F0A">
        <w:rPr>
          <w:rFonts w:ascii="Times New Roman" w:hAnsi="Times New Roman" w:cs="Times New Roman"/>
          <w:color w:val="000000"/>
          <w:sz w:val="24"/>
          <w:szCs w:val="24"/>
          <w:lang w:val="en-US"/>
        </w:rPr>
        <w:t xml:space="preserve">aper presented at United Nations Economic Commission for Europe, conference of European statisticians </w:t>
      </w:r>
    </w:p>
    <w:p w:rsidR="00080394" w:rsidRPr="005D3F0A" w:rsidRDefault="008137F2" w:rsidP="003E694C">
      <w:pPr>
        <w:spacing w:after="120"/>
        <w:jc w:val="both"/>
        <w:rPr>
          <w:rFonts w:ascii="Times New Roman" w:hAnsi="Times New Roman" w:cs="Times New Roman"/>
          <w:sz w:val="24"/>
          <w:szCs w:val="24"/>
          <w:lang w:val="en-US"/>
        </w:rPr>
      </w:pPr>
      <w:r w:rsidRPr="005D3F0A">
        <w:rPr>
          <w:rFonts w:ascii="Times New Roman" w:hAnsi="Times New Roman" w:cs="Times New Roman"/>
          <w:sz w:val="24"/>
          <w:szCs w:val="24"/>
        </w:rPr>
        <w:t>[4</w:t>
      </w:r>
      <w:r w:rsidR="00943FB0" w:rsidRPr="005D3F0A">
        <w:rPr>
          <w:rFonts w:ascii="Times New Roman" w:hAnsi="Times New Roman" w:cs="Times New Roman"/>
          <w:sz w:val="24"/>
          <w:szCs w:val="24"/>
        </w:rPr>
        <w:t xml:space="preserve">] </w:t>
      </w:r>
      <w:r w:rsidR="00080394" w:rsidRPr="005D3F0A">
        <w:rPr>
          <w:rFonts w:ascii="Times New Roman" w:hAnsi="Times New Roman" w:cs="Times New Roman"/>
          <w:sz w:val="24"/>
          <w:szCs w:val="24"/>
        </w:rPr>
        <w:t xml:space="preserve">Di Zio, M., and </w:t>
      </w:r>
      <w:proofErr w:type="spellStart"/>
      <w:r w:rsidR="00080394" w:rsidRPr="005D3F0A">
        <w:rPr>
          <w:rFonts w:ascii="Times New Roman" w:hAnsi="Times New Roman" w:cs="Times New Roman"/>
          <w:sz w:val="24"/>
          <w:szCs w:val="24"/>
        </w:rPr>
        <w:t>Guarnera</w:t>
      </w:r>
      <w:proofErr w:type="spellEnd"/>
      <w:r w:rsidR="00080394" w:rsidRPr="005D3F0A">
        <w:rPr>
          <w:rFonts w:ascii="Times New Roman" w:hAnsi="Times New Roman" w:cs="Times New Roman"/>
          <w:sz w:val="24"/>
          <w:szCs w:val="24"/>
        </w:rPr>
        <w:t xml:space="preserve">, U. (2013). </w:t>
      </w:r>
      <w:r w:rsidR="00080394" w:rsidRPr="005D3F0A">
        <w:rPr>
          <w:rFonts w:ascii="Times New Roman" w:hAnsi="Times New Roman" w:cs="Times New Roman"/>
          <w:i/>
          <w:sz w:val="24"/>
          <w:szCs w:val="24"/>
          <w:lang w:val="en-US"/>
        </w:rPr>
        <w:t>A Contamination Model for Selective editing</w:t>
      </w:r>
      <w:r w:rsidR="00080394" w:rsidRPr="005D3F0A">
        <w:rPr>
          <w:rFonts w:ascii="Times New Roman" w:hAnsi="Times New Roman" w:cs="Times New Roman"/>
          <w:sz w:val="24"/>
          <w:szCs w:val="24"/>
          <w:lang w:val="en-US"/>
        </w:rPr>
        <w:t xml:space="preserve">. </w:t>
      </w:r>
      <w:r w:rsidR="00080394" w:rsidRPr="005D3F0A">
        <w:rPr>
          <w:rFonts w:ascii="Times New Roman" w:hAnsi="Times New Roman" w:cs="Times New Roman"/>
          <w:iCs/>
          <w:sz w:val="24"/>
          <w:szCs w:val="24"/>
          <w:lang w:val="en-US"/>
        </w:rPr>
        <w:t>Journal of Official Statistics</w:t>
      </w:r>
      <w:r w:rsidR="00080394" w:rsidRPr="005D3F0A">
        <w:rPr>
          <w:rFonts w:ascii="Times New Roman" w:hAnsi="Times New Roman" w:cs="Times New Roman"/>
          <w:sz w:val="24"/>
          <w:szCs w:val="24"/>
          <w:lang w:val="en-US"/>
        </w:rPr>
        <w:t xml:space="preserve">, Vol. 29, No. 4, pp. 539-555. </w:t>
      </w:r>
    </w:p>
    <w:p w:rsidR="003E694C" w:rsidRPr="005D3F0A" w:rsidRDefault="008137F2" w:rsidP="003E694C">
      <w:pPr>
        <w:spacing w:after="120"/>
        <w:jc w:val="both"/>
        <w:rPr>
          <w:rFonts w:ascii="Times New Roman" w:hAnsi="Times New Roman" w:cs="Times New Roman"/>
          <w:sz w:val="24"/>
          <w:szCs w:val="24"/>
          <w:lang w:val="en-US"/>
        </w:rPr>
      </w:pPr>
      <w:r w:rsidRPr="008D71FF">
        <w:rPr>
          <w:rFonts w:ascii="Times New Roman" w:hAnsi="Times New Roman" w:cs="Times New Roman"/>
          <w:sz w:val="24"/>
          <w:szCs w:val="24"/>
          <w:lang w:val="en-US"/>
        </w:rPr>
        <w:t>[</w:t>
      </w:r>
      <w:r w:rsidR="005B3EC3" w:rsidRPr="008D71FF">
        <w:rPr>
          <w:rFonts w:ascii="Times New Roman" w:hAnsi="Times New Roman" w:cs="Times New Roman"/>
          <w:sz w:val="24"/>
          <w:szCs w:val="24"/>
          <w:lang w:val="en-US"/>
        </w:rPr>
        <w:t>5</w:t>
      </w:r>
      <w:r w:rsidR="00943FB0" w:rsidRPr="008D71FF">
        <w:rPr>
          <w:rFonts w:ascii="Times New Roman" w:hAnsi="Times New Roman" w:cs="Times New Roman"/>
          <w:sz w:val="24"/>
          <w:szCs w:val="24"/>
          <w:lang w:val="en-US"/>
        </w:rPr>
        <w:t xml:space="preserve">] </w:t>
      </w:r>
      <w:proofErr w:type="spellStart"/>
      <w:r w:rsidR="003E694C" w:rsidRPr="008D71FF">
        <w:rPr>
          <w:rFonts w:ascii="Times New Roman" w:hAnsi="Times New Roman" w:cs="Times New Roman"/>
          <w:sz w:val="24"/>
          <w:szCs w:val="24"/>
          <w:lang w:val="en-US"/>
        </w:rPr>
        <w:t>Guarnera</w:t>
      </w:r>
      <w:proofErr w:type="spellEnd"/>
      <w:r w:rsidR="00AD5FC1" w:rsidRPr="008D71FF">
        <w:rPr>
          <w:rFonts w:ascii="Times New Roman" w:hAnsi="Times New Roman" w:cs="Times New Roman"/>
          <w:sz w:val="24"/>
          <w:szCs w:val="24"/>
          <w:lang w:val="en-US"/>
        </w:rPr>
        <w:t>,</w:t>
      </w:r>
      <w:r w:rsidR="003E694C" w:rsidRPr="008D71FF">
        <w:rPr>
          <w:rFonts w:ascii="Times New Roman" w:hAnsi="Times New Roman" w:cs="Times New Roman"/>
          <w:sz w:val="24"/>
          <w:szCs w:val="24"/>
          <w:lang w:val="en-US"/>
        </w:rPr>
        <w:t xml:space="preserve"> U., </w:t>
      </w:r>
      <w:proofErr w:type="spellStart"/>
      <w:r w:rsidR="003E694C" w:rsidRPr="008D71FF">
        <w:rPr>
          <w:rFonts w:ascii="Times New Roman" w:hAnsi="Times New Roman" w:cs="Times New Roman"/>
          <w:sz w:val="24"/>
          <w:szCs w:val="24"/>
          <w:lang w:val="en-US"/>
        </w:rPr>
        <w:t>Luzi</w:t>
      </w:r>
      <w:proofErr w:type="spellEnd"/>
      <w:r w:rsidR="00AD5FC1" w:rsidRPr="008D71FF">
        <w:rPr>
          <w:rFonts w:ascii="Times New Roman" w:hAnsi="Times New Roman" w:cs="Times New Roman"/>
          <w:sz w:val="24"/>
          <w:szCs w:val="24"/>
          <w:lang w:val="en-US"/>
        </w:rPr>
        <w:t>,</w:t>
      </w:r>
      <w:r w:rsidR="003E694C" w:rsidRPr="008D71FF">
        <w:rPr>
          <w:rFonts w:ascii="Times New Roman" w:hAnsi="Times New Roman" w:cs="Times New Roman"/>
          <w:sz w:val="24"/>
          <w:szCs w:val="24"/>
          <w:lang w:val="en-US"/>
        </w:rPr>
        <w:t xml:space="preserve"> O., </w:t>
      </w:r>
      <w:proofErr w:type="spellStart"/>
      <w:r w:rsidR="003E694C" w:rsidRPr="008D71FF">
        <w:rPr>
          <w:rFonts w:ascii="Times New Roman" w:hAnsi="Times New Roman" w:cs="Times New Roman"/>
          <w:sz w:val="24"/>
          <w:szCs w:val="24"/>
          <w:lang w:val="en-US"/>
        </w:rPr>
        <w:t>Silvestri</w:t>
      </w:r>
      <w:proofErr w:type="spellEnd"/>
      <w:r w:rsidR="00AD5FC1" w:rsidRPr="008D71FF">
        <w:rPr>
          <w:rFonts w:ascii="Times New Roman" w:hAnsi="Times New Roman" w:cs="Times New Roman"/>
          <w:sz w:val="24"/>
          <w:szCs w:val="24"/>
          <w:lang w:val="en-US"/>
        </w:rPr>
        <w:t>,</w:t>
      </w:r>
      <w:r w:rsidR="003E694C" w:rsidRPr="008D71FF">
        <w:rPr>
          <w:rFonts w:ascii="Times New Roman" w:hAnsi="Times New Roman" w:cs="Times New Roman"/>
          <w:sz w:val="24"/>
          <w:szCs w:val="24"/>
          <w:lang w:val="en-US"/>
        </w:rPr>
        <w:t xml:space="preserve"> F., </w:t>
      </w:r>
      <w:proofErr w:type="spellStart"/>
      <w:r w:rsidR="003E694C" w:rsidRPr="008D71FF">
        <w:rPr>
          <w:rFonts w:ascii="Times New Roman" w:hAnsi="Times New Roman" w:cs="Times New Roman"/>
          <w:sz w:val="24"/>
          <w:szCs w:val="24"/>
          <w:lang w:val="en-US"/>
        </w:rPr>
        <w:t>Buglielli</w:t>
      </w:r>
      <w:proofErr w:type="spellEnd"/>
      <w:r w:rsidR="00AD5FC1" w:rsidRPr="008D71FF">
        <w:rPr>
          <w:rFonts w:ascii="Times New Roman" w:hAnsi="Times New Roman" w:cs="Times New Roman"/>
          <w:sz w:val="24"/>
          <w:szCs w:val="24"/>
          <w:lang w:val="en-US"/>
        </w:rPr>
        <w:t>,</w:t>
      </w:r>
      <w:r w:rsidR="003E694C" w:rsidRPr="008D71FF">
        <w:rPr>
          <w:rFonts w:ascii="Times New Roman" w:hAnsi="Times New Roman" w:cs="Times New Roman"/>
          <w:sz w:val="24"/>
          <w:szCs w:val="24"/>
          <w:lang w:val="en-US"/>
        </w:rPr>
        <w:t xml:space="preserve"> T., </w:t>
      </w:r>
      <w:proofErr w:type="spellStart"/>
      <w:r w:rsidR="003E694C" w:rsidRPr="008D71FF">
        <w:rPr>
          <w:rFonts w:ascii="Times New Roman" w:hAnsi="Times New Roman" w:cs="Times New Roman"/>
          <w:sz w:val="24"/>
          <w:szCs w:val="24"/>
          <w:lang w:val="en-US"/>
        </w:rPr>
        <w:t>Nurra</w:t>
      </w:r>
      <w:proofErr w:type="spellEnd"/>
      <w:r w:rsidR="00AD5FC1" w:rsidRPr="008D71FF">
        <w:rPr>
          <w:rFonts w:ascii="Times New Roman" w:hAnsi="Times New Roman" w:cs="Times New Roman"/>
          <w:sz w:val="24"/>
          <w:szCs w:val="24"/>
          <w:lang w:val="en-US"/>
        </w:rPr>
        <w:t>,</w:t>
      </w:r>
      <w:r w:rsidR="003E694C" w:rsidRPr="008D71FF">
        <w:rPr>
          <w:rFonts w:ascii="Times New Roman" w:hAnsi="Times New Roman" w:cs="Times New Roman"/>
          <w:sz w:val="24"/>
          <w:szCs w:val="24"/>
          <w:lang w:val="en-US"/>
        </w:rPr>
        <w:t xml:space="preserve"> A., </w:t>
      </w:r>
      <w:proofErr w:type="spellStart"/>
      <w:r w:rsidR="003E694C" w:rsidRPr="008D71FF">
        <w:rPr>
          <w:rFonts w:ascii="Times New Roman" w:hAnsi="Times New Roman" w:cs="Times New Roman"/>
          <w:sz w:val="24"/>
          <w:szCs w:val="24"/>
          <w:lang w:val="en-US"/>
        </w:rPr>
        <w:t>Siesto</w:t>
      </w:r>
      <w:proofErr w:type="spellEnd"/>
      <w:r w:rsidR="00AD5FC1" w:rsidRPr="008D71FF">
        <w:rPr>
          <w:rFonts w:ascii="Times New Roman" w:hAnsi="Times New Roman" w:cs="Times New Roman"/>
          <w:sz w:val="24"/>
          <w:szCs w:val="24"/>
          <w:lang w:val="en-US"/>
        </w:rPr>
        <w:t>,</w:t>
      </w:r>
      <w:r w:rsidR="003E694C" w:rsidRPr="008D71FF">
        <w:rPr>
          <w:rFonts w:ascii="Times New Roman" w:hAnsi="Times New Roman" w:cs="Times New Roman"/>
          <w:sz w:val="24"/>
          <w:szCs w:val="24"/>
          <w:lang w:val="en-US"/>
        </w:rPr>
        <w:t xml:space="preserve"> G. (2012). </w:t>
      </w:r>
      <w:r w:rsidR="003E694C" w:rsidRPr="005D3F0A">
        <w:rPr>
          <w:rFonts w:ascii="Times New Roman" w:hAnsi="Times New Roman" w:cs="Times New Roman"/>
          <w:i/>
          <w:sz w:val="24"/>
          <w:szCs w:val="24"/>
          <w:lang w:val="en-US"/>
        </w:rPr>
        <w:t>Multivariate selective editing via mixture models: first applications to Italian structural business surveys</w:t>
      </w:r>
      <w:r w:rsidR="00AD5FC1" w:rsidRPr="005D3F0A">
        <w:rPr>
          <w:rFonts w:ascii="Times New Roman" w:hAnsi="Times New Roman" w:cs="Times New Roman"/>
          <w:sz w:val="24"/>
          <w:szCs w:val="24"/>
          <w:lang w:val="en-US"/>
        </w:rPr>
        <w:t xml:space="preserve">. </w:t>
      </w:r>
      <w:r w:rsidR="003E694C" w:rsidRPr="005D3F0A">
        <w:rPr>
          <w:rFonts w:ascii="Times New Roman" w:hAnsi="Times New Roman" w:cs="Times New Roman"/>
          <w:sz w:val="24"/>
          <w:szCs w:val="24"/>
          <w:lang w:val="en-US"/>
        </w:rPr>
        <w:t xml:space="preserve">UN/ECE Work Session on Statistical Data Editing, Oslo, 24-26 </w:t>
      </w:r>
      <w:r w:rsidR="00AD5FC1" w:rsidRPr="005D3F0A">
        <w:rPr>
          <w:rFonts w:ascii="Times New Roman" w:hAnsi="Times New Roman" w:cs="Times New Roman"/>
          <w:sz w:val="24"/>
          <w:szCs w:val="24"/>
          <w:lang w:val="en-US"/>
        </w:rPr>
        <w:t>September</w:t>
      </w:r>
      <w:r w:rsidR="003E694C" w:rsidRPr="005D3F0A">
        <w:rPr>
          <w:rFonts w:ascii="Times New Roman" w:hAnsi="Times New Roman" w:cs="Times New Roman"/>
          <w:sz w:val="24"/>
          <w:szCs w:val="24"/>
          <w:lang w:val="en-US"/>
        </w:rPr>
        <w:t>.</w:t>
      </w:r>
    </w:p>
    <w:p w:rsidR="00CE63FD" w:rsidRPr="008B4692" w:rsidRDefault="005B3EC3" w:rsidP="00CE63FD">
      <w:pPr>
        <w:spacing w:after="120"/>
        <w:jc w:val="both"/>
        <w:rPr>
          <w:rFonts w:ascii="Times New Roman" w:hAnsi="Times New Roman" w:cs="Times New Roman"/>
          <w:sz w:val="24"/>
          <w:szCs w:val="24"/>
        </w:rPr>
      </w:pPr>
      <w:r w:rsidRPr="005D3F0A">
        <w:rPr>
          <w:rFonts w:ascii="Times New Roman" w:hAnsi="Times New Roman" w:cs="Times New Roman"/>
          <w:sz w:val="24"/>
          <w:szCs w:val="24"/>
          <w:lang w:val="en-US"/>
        </w:rPr>
        <w:t>[6</w:t>
      </w:r>
      <w:r w:rsidR="00CE63FD" w:rsidRPr="005D3F0A">
        <w:rPr>
          <w:rFonts w:ascii="Times New Roman" w:hAnsi="Times New Roman" w:cs="Times New Roman"/>
          <w:sz w:val="24"/>
          <w:szCs w:val="24"/>
          <w:lang w:val="en-US"/>
        </w:rPr>
        <w:t xml:space="preserve">] Kim, J. K. K., </w:t>
      </w:r>
      <w:proofErr w:type="spellStart"/>
      <w:r w:rsidR="00CE63FD" w:rsidRPr="005D3F0A">
        <w:rPr>
          <w:rFonts w:ascii="Times New Roman" w:hAnsi="Times New Roman" w:cs="Times New Roman"/>
          <w:sz w:val="24"/>
          <w:szCs w:val="24"/>
          <w:lang w:val="en-US"/>
        </w:rPr>
        <w:t>Rao</w:t>
      </w:r>
      <w:proofErr w:type="spellEnd"/>
      <w:r w:rsidR="00CE63FD" w:rsidRPr="005D3F0A">
        <w:rPr>
          <w:rFonts w:ascii="Times New Roman" w:hAnsi="Times New Roman" w:cs="Times New Roman"/>
          <w:sz w:val="24"/>
          <w:szCs w:val="24"/>
          <w:lang w:val="en-US"/>
        </w:rPr>
        <w:t xml:space="preserve">, J. N. K. (2011). </w:t>
      </w:r>
      <w:r w:rsidR="00CE63FD" w:rsidRPr="005D3F0A">
        <w:rPr>
          <w:rFonts w:ascii="Times New Roman" w:hAnsi="Times New Roman" w:cs="Times New Roman"/>
          <w:i/>
          <w:sz w:val="24"/>
          <w:szCs w:val="24"/>
          <w:lang w:val="en-US"/>
        </w:rPr>
        <w:t>Combining data from two independent surveys: a model-assisted approach</w:t>
      </w:r>
      <w:r w:rsidR="00CE63FD" w:rsidRPr="005D3F0A">
        <w:rPr>
          <w:rFonts w:ascii="Times New Roman" w:hAnsi="Times New Roman" w:cs="Times New Roman"/>
          <w:sz w:val="24"/>
          <w:szCs w:val="24"/>
          <w:lang w:val="en-US"/>
        </w:rPr>
        <w:t xml:space="preserve">. </w:t>
      </w:r>
      <w:proofErr w:type="spellStart"/>
      <w:r w:rsidR="00CE63FD" w:rsidRPr="008B4692">
        <w:rPr>
          <w:rFonts w:ascii="Times New Roman" w:hAnsi="Times New Roman" w:cs="Times New Roman"/>
          <w:sz w:val="24"/>
          <w:szCs w:val="24"/>
        </w:rPr>
        <w:t>Biometrika</w:t>
      </w:r>
      <w:proofErr w:type="spellEnd"/>
      <w:r w:rsidR="00CE63FD" w:rsidRPr="008B4692">
        <w:rPr>
          <w:rFonts w:ascii="Times New Roman" w:hAnsi="Times New Roman" w:cs="Times New Roman"/>
          <w:sz w:val="24"/>
          <w:szCs w:val="24"/>
        </w:rPr>
        <w:t>. N</w:t>
      </w:r>
      <w:r w:rsidR="00ED4A1C" w:rsidRPr="008B4692">
        <w:rPr>
          <w:rFonts w:ascii="Times New Roman" w:hAnsi="Times New Roman" w:cs="Times New Roman"/>
          <w:sz w:val="24"/>
          <w:szCs w:val="24"/>
        </w:rPr>
        <w:t>o</w:t>
      </w:r>
      <w:r w:rsidR="00CE63FD" w:rsidRPr="008B4692">
        <w:rPr>
          <w:rFonts w:ascii="Times New Roman" w:hAnsi="Times New Roman" w:cs="Times New Roman"/>
          <w:sz w:val="24"/>
          <w:szCs w:val="24"/>
        </w:rPr>
        <w:t>.8, pp. 1–16.</w:t>
      </w:r>
    </w:p>
    <w:p w:rsidR="003E694C" w:rsidRPr="005D3F0A" w:rsidRDefault="008137F2" w:rsidP="003E694C">
      <w:pPr>
        <w:spacing w:after="120"/>
        <w:jc w:val="both"/>
        <w:rPr>
          <w:rFonts w:ascii="Times New Roman" w:hAnsi="Times New Roman" w:cs="Times New Roman"/>
          <w:color w:val="000000"/>
          <w:sz w:val="24"/>
          <w:szCs w:val="24"/>
          <w:lang w:val="en-US"/>
        </w:rPr>
      </w:pPr>
      <w:r w:rsidRPr="008B4692">
        <w:rPr>
          <w:rFonts w:ascii="Times New Roman" w:hAnsi="Times New Roman" w:cs="Times New Roman"/>
          <w:sz w:val="24"/>
          <w:szCs w:val="24"/>
        </w:rPr>
        <w:t>[</w:t>
      </w:r>
      <w:r w:rsidR="005B3EC3" w:rsidRPr="008B4692">
        <w:rPr>
          <w:rFonts w:ascii="Times New Roman" w:hAnsi="Times New Roman" w:cs="Times New Roman"/>
          <w:sz w:val="24"/>
          <w:szCs w:val="24"/>
        </w:rPr>
        <w:t>7</w:t>
      </w:r>
      <w:r w:rsidR="00943FB0" w:rsidRPr="008B4692">
        <w:rPr>
          <w:rFonts w:ascii="Times New Roman" w:hAnsi="Times New Roman" w:cs="Times New Roman"/>
          <w:sz w:val="24"/>
          <w:szCs w:val="24"/>
        </w:rPr>
        <w:t xml:space="preserve">] </w:t>
      </w:r>
      <w:r w:rsidR="003E694C" w:rsidRPr="008B4692">
        <w:rPr>
          <w:rFonts w:ascii="Times New Roman" w:hAnsi="Times New Roman" w:cs="Times New Roman"/>
          <w:color w:val="000000"/>
          <w:sz w:val="24"/>
          <w:szCs w:val="24"/>
        </w:rPr>
        <w:t xml:space="preserve">Luzi, </w:t>
      </w:r>
      <w:r w:rsidR="00AD5FC1" w:rsidRPr="008B4692">
        <w:rPr>
          <w:rFonts w:ascii="Times New Roman" w:hAnsi="Times New Roman" w:cs="Times New Roman"/>
          <w:color w:val="000000"/>
          <w:sz w:val="24"/>
          <w:szCs w:val="24"/>
        </w:rPr>
        <w:t>O., D</w:t>
      </w:r>
      <w:r w:rsidR="003E694C" w:rsidRPr="008B4692">
        <w:rPr>
          <w:rFonts w:ascii="Times New Roman" w:hAnsi="Times New Roman" w:cs="Times New Roman"/>
          <w:color w:val="000000"/>
          <w:sz w:val="24"/>
          <w:szCs w:val="24"/>
        </w:rPr>
        <w:t xml:space="preserve">i Zio, </w:t>
      </w:r>
      <w:r w:rsidR="00AD5FC1" w:rsidRPr="008B4692">
        <w:rPr>
          <w:rFonts w:ascii="Times New Roman" w:hAnsi="Times New Roman" w:cs="Times New Roman"/>
          <w:color w:val="000000"/>
          <w:sz w:val="24"/>
          <w:szCs w:val="24"/>
        </w:rPr>
        <w:t xml:space="preserve">M., </w:t>
      </w:r>
      <w:r w:rsidR="003E694C" w:rsidRPr="008B4692">
        <w:rPr>
          <w:rFonts w:ascii="Times New Roman" w:hAnsi="Times New Roman" w:cs="Times New Roman"/>
          <w:color w:val="000000"/>
          <w:sz w:val="24"/>
          <w:szCs w:val="24"/>
        </w:rPr>
        <w:t xml:space="preserve">Oropallo, </w:t>
      </w:r>
      <w:r w:rsidR="00AD5FC1" w:rsidRPr="008B4692">
        <w:rPr>
          <w:rFonts w:ascii="Times New Roman" w:hAnsi="Times New Roman" w:cs="Times New Roman"/>
          <w:color w:val="000000"/>
          <w:sz w:val="24"/>
          <w:szCs w:val="24"/>
        </w:rPr>
        <w:t xml:space="preserve">F., </w:t>
      </w:r>
      <w:proofErr w:type="spellStart"/>
      <w:r w:rsidR="003E694C" w:rsidRPr="008B4692">
        <w:rPr>
          <w:rFonts w:ascii="Times New Roman" w:hAnsi="Times New Roman" w:cs="Times New Roman"/>
          <w:color w:val="000000"/>
          <w:sz w:val="24"/>
          <w:szCs w:val="24"/>
        </w:rPr>
        <w:t>Puggioni</w:t>
      </w:r>
      <w:proofErr w:type="spellEnd"/>
      <w:r w:rsidR="003E694C" w:rsidRPr="008B4692">
        <w:rPr>
          <w:rFonts w:ascii="Times New Roman" w:hAnsi="Times New Roman" w:cs="Times New Roman"/>
          <w:color w:val="000000"/>
          <w:sz w:val="24"/>
          <w:szCs w:val="24"/>
        </w:rPr>
        <w:t>,</w:t>
      </w:r>
      <w:r w:rsidR="00AD5FC1" w:rsidRPr="008B4692">
        <w:rPr>
          <w:rFonts w:ascii="Times New Roman" w:hAnsi="Times New Roman" w:cs="Times New Roman"/>
          <w:color w:val="000000"/>
          <w:sz w:val="24"/>
          <w:szCs w:val="24"/>
        </w:rPr>
        <w:t xml:space="preserve"> A., </w:t>
      </w:r>
      <w:proofErr w:type="spellStart"/>
      <w:r w:rsidR="003E694C" w:rsidRPr="008B4692">
        <w:rPr>
          <w:rFonts w:ascii="Times New Roman" w:hAnsi="Times New Roman" w:cs="Times New Roman"/>
          <w:color w:val="000000"/>
          <w:sz w:val="24"/>
          <w:szCs w:val="24"/>
        </w:rPr>
        <w:t>Sanzo</w:t>
      </w:r>
      <w:proofErr w:type="spellEnd"/>
      <w:r w:rsidR="003E694C" w:rsidRPr="008B4692">
        <w:rPr>
          <w:rFonts w:ascii="Times New Roman" w:hAnsi="Times New Roman" w:cs="Times New Roman"/>
          <w:color w:val="000000"/>
          <w:sz w:val="24"/>
          <w:szCs w:val="24"/>
        </w:rPr>
        <w:t xml:space="preserve"> </w:t>
      </w:r>
      <w:r w:rsidR="00AD5FC1" w:rsidRPr="008B4692">
        <w:rPr>
          <w:rFonts w:ascii="Times New Roman" w:hAnsi="Times New Roman" w:cs="Times New Roman"/>
          <w:color w:val="000000"/>
          <w:sz w:val="24"/>
          <w:szCs w:val="24"/>
        </w:rPr>
        <w:t xml:space="preserve">R. </w:t>
      </w:r>
      <w:r w:rsidR="003E694C" w:rsidRPr="008B4692">
        <w:rPr>
          <w:rFonts w:ascii="Times New Roman" w:hAnsi="Times New Roman" w:cs="Times New Roman"/>
          <w:color w:val="000000"/>
          <w:sz w:val="24"/>
          <w:szCs w:val="24"/>
        </w:rPr>
        <w:t xml:space="preserve">(2013). </w:t>
      </w:r>
      <w:r w:rsidR="003E694C" w:rsidRPr="005D3F0A">
        <w:rPr>
          <w:rFonts w:ascii="Times New Roman" w:hAnsi="Times New Roman" w:cs="Times New Roman"/>
          <w:i/>
          <w:color w:val="000000"/>
          <w:sz w:val="24"/>
          <w:szCs w:val="24"/>
          <w:lang w:val="en-US"/>
        </w:rPr>
        <w:t>Integrating administrative and survey data in the new Italian system for SBS: quality issues</w:t>
      </w:r>
      <w:r w:rsidR="00AD5FC1" w:rsidRPr="005D3F0A">
        <w:rPr>
          <w:rFonts w:ascii="Times New Roman" w:hAnsi="Times New Roman" w:cs="Times New Roman"/>
          <w:color w:val="000000"/>
          <w:sz w:val="24"/>
          <w:szCs w:val="24"/>
          <w:lang w:val="en-US"/>
        </w:rPr>
        <w:t>.</w:t>
      </w:r>
      <w:r w:rsidR="003E694C" w:rsidRPr="005D3F0A">
        <w:rPr>
          <w:rFonts w:ascii="Times New Roman" w:hAnsi="Times New Roman" w:cs="Times New Roman"/>
          <w:color w:val="000000"/>
          <w:sz w:val="24"/>
          <w:szCs w:val="24"/>
          <w:lang w:val="en-US"/>
        </w:rPr>
        <w:t xml:space="preserve"> </w:t>
      </w:r>
      <w:r w:rsidR="00AD5FC1" w:rsidRPr="005D3F0A">
        <w:rPr>
          <w:rFonts w:ascii="Times New Roman" w:hAnsi="Times New Roman" w:cs="Times New Roman"/>
          <w:color w:val="000000"/>
          <w:sz w:val="24"/>
          <w:szCs w:val="24"/>
          <w:lang w:val="en-US"/>
        </w:rPr>
        <w:t>P</w:t>
      </w:r>
      <w:r w:rsidR="003E694C" w:rsidRPr="005D3F0A">
        <w:rPr>
          <w:rFonts w:ascii="Times New Roman" w:hAnsi="Times New Roman" w:cs="Times New Roman"/>
          <w:color w:val="000000"/>
          <w:sz w:val="24"/>
          <w:szCs w:val="24"/>
          <w:lang w:val="en-US"/>
        </w:rPr>
        <w:t xml:space="preserve">aper presented at </w:t>
      </w:r>
      <w:r w:rsidR="00256FE7">
        <w:rPr>
          <w:rFonts w:ascii="Times New Roman" w:hAnsi="Times New Roman" w:cs="Times New Roman"/>
          <w:color w:val="000000"/>
          <w:sz w:val="24"/>
          <w:szCs w:val="24"/>
          <w:lang w:val="en-US"/>
        </w:rPr>
        <w:t>t</w:t>
      </w:r>
      <w:r w:rsidR="003E694C" w:rsidRPr="005D3F0A">
        <w:rPr>
          <w:rFonts w:ascii="Times New Roman" w:hAnsi="Times New Roman" w:cs="Times New Roman"/>
          <w:color w:val="000000"/>
          <w:sz w:val="24"/>
          <w:szCs w:val="24"/>
          <w:lang w:val="en-US"/>
        </w:rPr>
        <w:t>he 3rd European Establishment Statistics Workshop, Nuremberg, Germany.</w:t>
      </w:r>
      <w:r w:rsidR="00AD5FC1" w:rsidRPr="005D3F0A">
        <w:rPr>
          <w:rFonts w:ascii="Times New Roman" w:hAnsi="Times New Roman" w:cs="Times New Roman"/>
          <w:color w:val="000000"/>
          <w:sz w:val="24"/>
          <w:szCs w:val="24"/>
          <w:lang w:val="en-US"/>
        </w:rPr>
        <w:t xml:space="preserve"> </w:t>
      </w:r>
    </w:p>
    <w:p w:rsidR="003E694C" w:rsidRPr="005D3F0A" w:rsidRDefault="008137F2" w:rsidP="003E694C">
      <w:pPr>
        <w:spacing w:after="120"/>
        <w:jc w:val="both"/>
        <w:rPr>
          <w:rFonts w:ascii="Times New Roman" w:hAnsi="Times New Roman" w:cs="Times New Roman"/>
          <w:sz w:val="24"/>
          <w:szCs w:val="24"/>
          <w:lang w:val="en-US"/>
        </w:rPr>
      </w:pPr>
      <w:r w:rsidRPr="005D3F0A">
        <w:rPr>
          <w:rFonts w:ascii="Times New Roman" w:hAnsi="Times New Roman" w:cs="Times New Roman"/>
          <w:sz w:val="24"/>
          <w:szCs w:val="24"/>
          <w:lang w:val="en-US"/>
        </w:rPr>
        <w:t>[</w:t>
      </w:r>
      <w:r w:rsidR="005B3EC3" w:rsidRPr="005D3F0A">
        <w:rPr>
          <w:rFonts w:ascii="Times New Roman" w:hAnsi="Times New Roman" w:cs="Times New Roman"/>
          <w:sz w:val="24"/>
          <w:szCs w:val="24"/>
          <w:lang w:val="en-US"/>
        </w:rPr>
        <w:t>8</w:t>
      </w:r>
      <w:r w:rsidR="00943FB0" w:rsidRPr="005D3F0A">
        <w:rPr>
          <w:rFonts w:ascii="Times New Roman" w:hAnsi="Times New Roman" w:cs="Times New Roman"/>
          <w:sz w:val="24"/>
          <w:szCs w:val="24"/>
          <w:lang w:val="en-US"/>
        </w:rPr>
        <w:t xml:space="preserve">] </w:t>
      </w:r>
      <w:proofErr w:type="spellStart"/>
      <w:r w:rsidR="003E694C" w:rsidRPr="005D3F0A">
        <w:rPr>
          <w:rFonts w:ascii="Times New Roman" w:hAnsi="Times New Roman" w:cs="Times New Roman"/>
          <w:sz w:val="24"/>
          <w:szCs w:val="24"/>
          <w:lang w:val="en-US"/>
        </w:rPr>
        <w:t>Wallgren</w:t>
      </w:r>
      <w:proofErr w:type="spellEnd"/>
      <w:r w:rsidR="003E694C" w:rsidRPr="005D3F0A">
        <w:rPr>
          <w:rFonts w:ascii="Times New Roman" w:hAnsi="Times New Roman" w:cs="Times New Roman"/>
          <w:sz w:val="24"/>
          <w:szCs w:val="24"/>
          <w:lang w:val="en-US"/>
        </w:rPr>
        <w:t>,</w:t>
      </w:r>
      <w:r w:rsidR="00943FB0" w:rsidRPr="005D3F0A">
        <w:rPr>
          <w:rFonts w:ascii="Times New Roman" w:hAnsi="Times New Roman" w:cs="Times New Roman"/>
          <w:sz w:val="24"/>
          <w:szCs w:val="24"/>
          <w:lang w:val="en-US"/>
        </w:rPr>
        <w:t xml:space="preserve"> A., </w:t>
      </w:r>
      <w:proofErr w:type="spellStart"/>
      <w:r w:rsidR="003E694C" w:rsidRPr="005D3F0A">
        <w:rPr>
          <w:rFonts w:ascii="Times New Roman" w:hAnsi="Times New Roman" w:cs="Times New Roman"/>
          <w:sz w:val="24"/>
          <w:szCs w:val="24"/>
          <w:lang w:val="en-US"/>
        </w:rPr>
        <w:t>Wallgren</w:t>
      </w:r>
      <w:proofErr w:type="spellEnd"/>
      <w:r w:rsidR="00943FB0" w:rsidRPr="005D3F0A">
        <w:rPr>
          <w:rFonts w:ascii="Times New Roman" w:hAnsi="Times New Roman" w:cs="Times New Roman"/>
          <w:sz w:val="24"/>
          <w:szCs w:val="24"/>
          <w:lang w:val="en-US"/>
        </w:rPr>
        <w:t xml:space="preserve">, </w:t>
      </w:r>
      <w:r w:rsidR="00AD5FC1" w:rsidRPr="005D3F0A">
        <w:rPr>
          <w:rFonts w:ascii="Times New Roman" w:hAnsi="Times New Roman" w:cs="Times New Roman"/>
          <w:sz w:val="24"/>
          <w:szCs w:val="24"/>
          <w:lang w:val="en-US"/>
        </w:rPr>
        <w:t xml:space="preserve">B. </w:t>
      </w:r>
      <w:r w:rsidR="003E694C" w:rsidRPr="005D3F0A">
        <w:rPr>
          <w:rFonts w:ascii="Times New Roman" w:hAnsi="Times New Roman" w:cs="Times New Roman"/>
          <w:sz w:val="24"/>
          <w:szCs w:val="24"/>
          <w:lang w:val="en-US"/>
        </w:rPr>
        <w:t>(2007)</w:t>
      </w:r>
      <w:r w:rsidR="00AD5FC1" w:rsidRPr="005D3F0A">
        <w:rPr>
          <w:rFonts w:ascii="Times New Roman" w:hAnsi="Times New Roman" w:cs="Times New Roman"/>
          <w:sz w:val="24"/>
          <w:szCs w:val="24"/>
          <w:lang w:val="en-US"/>
        </w:rPr>
        <w:t>.</w:t>
      </w:r>
      <w:r w:rsidR="003E694C" w:rsidRPr="005D3F0A">
        <w:rPr>
          <w:rFonts w:ascii="Times New Roman" w:hAnsi="Times New Roman" w:cs="Times New Roman"/>
          <w:sz w:val="24"/>
          <w:szCs w:val="24"/>
          <w:lang w:val="en-US"/>
        </w:rPr>
        <w:t xml:space="preserve"> </w:t>
      </w:r>
      <w:r w:rsidR="003E694C" w:rsidRPr="005D3F0A">
        <w:rPr>
          <w:rFonts w:ascii="Times New Roman" w:hAnsi="Times New Roman" w:cs="Times New Roman"/>
          <w:i/>
          <w:iCs/>
          <w:sz w:val="24"/>
          <w:szCs w:val="24"/>
          <w:lang w:val="en-US"/>
        </w:rPr>
        <w:t>Register-based Statistics: Administrative Data for Statistical Purposes</w:t>
      </w:r>
      <w:r w:rsidR="003E694C" w:rsidRPr="005D3F0A">
        <w:rPr>
          <w:rFonts w:ascii="Times New Roman" w:hAnsi="Times New Roman" w:cs="Times New Roman"/>
          <w:sz w:val="24"/>
          <w:szCs w:val="24"/>
          <w:lang w:val="en-US"/>
        </w:rPr>
        <w:t>, John Wiley &amp; Sons.</w:t>
      </w:r>
    </w:p>
    <w:p w:rsidR="003E694C" w:rsidRPr="005D3F0A" w:rsidRDefault="008137F2" w:rsidP="008137F2">
      <w:pPr>
        <w:spacing w:after="120"/>
        <w:jc w:val="both"/>
        <w:rPr>
          <w:rFonts w:ascii="Times New Roman" w:hAnsi="Times New Roman" w:cs="Times New Roman"/>
          <w:color w:val="000000"/>
          <w:sz w:val="24"/>
          <w:szCs w:val="24"/>
          <w:lang w:val="en-US"/>
        </w:rPr>
      </w:pPr>
      <w:r w:rsidRPr="005D3F0A">
        <w:rPr>
          <w:rFonts w:ascii="Times New Roman" w:hAnsi="Times New Roman" w:cs="Times New Roman"/>
          <w:sz w:val="24"/>
          <w:szCs w:val="24"/>
          <w:lang w:val="en-US"/>
        </w:rPr>
        <w:t>[</w:t>
      </w:r>
      <w:r w:rsidR="005B3EC3" w:rsidRPr="005D3F0A">
        <w:rPr>
          <w:rFonts w:ascii="Times New Roman" w:hAnsi="Times New Roman" w:cs="Times New Roman"/>
          <w:sz w:val="24"/>
          <w:szCs w:val="24"/>
          <w:lang w:val="en-US"/>
        </w:rPr>
        <w:t>9</w:t>
      </w:r>
      <w:r w:rsidR="00943FB0" w:rsidRPr="005D3F0A">
        <w:rPr>
          <w:rFonts w:ascii="Times New Roman" w:hAnsi="Times New Roman" w:cs="Times New Roman"/>
          <w:sz w:val="24"/>
          <w:szCs w:val="24"/>
          <w:lang w:val="en-US"/>
        </w:rPr>
        <w:t xml:space="preserve">] </w:t>
      </w:r>
      <w:r w:rsidR="003E694C" w:rsidRPr="005D3F0A">
        <w:rPr>
          <w:rFonts w:ascii="Times New Roman" w:hAnsi="Times New Roman" w:cs="Times New Roman"/>
          <w:iCs/>
          <w:sz w:val="24"/>
          <w:szCs w:val="24"/>
          <w:lang w:val="en-US"/>
        </w:rPr>
        <w:t xml:space="preserve">Zhang, L.C. (2012). </w:t>
      </w:r>
      <w:r w:rsidR="003E694C" w:rsidRPr="005D3F0A">
        <w:rPr>
          <w:rFonts w:ascii="Times New Roman" w:hAnsi="Times New Roman" w:cs="Times New Roman"/>
          <w:i/>
          <w:iCs/>
          <w:sz w:val="24"/>
          <w:szCs w:val="24"/>
          <w:lang w:val="en-US"/>
        </w:rPr>
        <w:t>Topics of statistical theory for register-based statistics and data integration</w:t>
      </w:r>
      <w:r w:rsidR="003E694C" w:rsidRPr="005D3F0A">
        <w:rPr>
          <w:rFonts w:ascii="Times New Roman" w:hAnsi="Times New Roman" w:cs="Times New Roman"/>
          <w:iCs/>
          <w:sz w:val="24"/>
          <w:szCs w:val="24"/>
          <w:lang w:val="en-US"/>
        </w:rPr>
        <w:t xml:space="preserve">. </w:t>
      </w:r>
      <w:proofErr w:type="spellStart"/>
      <w:r w:rsidR="003E694C" w:rsidRPr="005D3F0A">
        <w:rPr>
          <w:rFonts w:ascii="Times New Roman" w:hAnsi="Times New Roman" w:cs="Times New Roman"/>
          <w:iCs/>
          <w:sz w:val="24"/>
          <w:szCs w:val="24"/>
          <w:lang w:val="en-US"/>
        </w:rPr>
        <w:t>Statistica</w:t>
      </w:r>
      <w:proofErr w:type="spellEnd"/>
      <w:r w:rsidR="003E694C" w:rsidRPr="005D3F0A">
        <w:rPr>
          <w:rFonts w:ascii="Times New Roman" w:hAnsi="Times New Roman" w:cs="Times New Roman"/>
          <w:iCs/>
          <w:sz w:val="24"/>
          <w:szCs w:val="24"/>
          <w:lang w:val="en-US"/>
        </w:rPr>
        <w:t xml:space="preserve"> </w:t>
      </w:r>
      <w:proofErr w:type="spellStart"/>
      <w:r w:rsidR="003E694C" w:rsidRPr="005D3F0A">
        <w:rPr>
          <w:rFonts w:ascii="Times New Roman" w:hAnsi="Times New Roman" w:cs="Times New Roman"/>
          <w:iCs/>
          <w:sz w:val="24"/>
          <w:szCs w:val="24"/>
          <w:lang w:val="en-US"/>
        </w:rPr>
        <w:t>Neerlandi</w:t>
      </w:r>
      <w:r w:rsidR="003E694C" w:rsidRPr="005D3F0A">
        <w:rPr>
          <w:rFonts w:ascii="Times New Roman" w:hAnsi="Times New Roman" w:cs="Times New Roman"/>
          <w:iCs/>
          <w:sz w:val="24"/>
          <w:szCs w:val="24"/>
        </w:rPr>
        <w:t>ca</w:t>
      </w:r>
      <w:proofErr w:type="spellEnd"/>
      <w:r w:rsidR="003E694C" w:rsidRPr="005D3F0A">
        <w:rPr>
          <w:rFonts w:ascii="Times New Roman" w:hAnsi="Times New Roman" w:cs="Times New Roman"/>
          <w:iCs/>
          <w:sz w:val="24"/>
          <w:szCs w:val="24"/>
        </w:rPr>
        <w:t>, Vol. 66, No. 1, pp. 41–63.</w:t>
      </w:r>
    </w:p>
    <w:sectPr w:rsidR="003E694C" w:rsidRPr="005D3F0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D3E" w:rsidRDefault="00843D3E" w:rsidP="00F37BF6">
      <w:pPr>
        <w:spacing w:after="0" w:line="240" w:lineRule="auto"/>
      </w:pPr>
      <w:r>
        <w:separator/>
      </w:r>
    </w:p>
  </w:endnote>
  <w:endnote w:type="continuationSeparator" w:id="0">
    <w:p w:rsidR="00843D3E" w:rsidRDefault="00843D3E" w:rsidP="00F3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MT">
    <w:altName w:val="Symbol"/>
    <w:charset w:val="02"/>
    <w:family w:val="roman"/>
    <w:pitch w:val="variable"/>
    <w:sig w:usb0="00000000" w:usb1="10000000" w:usb2="00000000" w:usb3="00000000" w:csb0="80000000" w:csb1="00000000"/>
  </w:font>
  <w:font w:name="SFRM109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D3E" w:rsidRDefault="00843D3E" w:rsidP="00F37BF6">
      <w:pPr>
        <w:spacing w:after="0" w:line="240" w:lineRule="auto"/>
      </w:pPr>
      <w:r>
        <w:separator/>
      </w:r>
    </w:p>
  </w:footnote>
  <w:footnote w:type="continuationSeparator" w:id="0">
    <w:p w:rsidR="00843D3E" w:rsidRDefault="00843D3E" w:rsidP="00F37BF6">
      <w:pPr>
        <w:spacing w:after="0" w:line="240" w:lineRule="auto"/>
      </w:pPr>
      <w:r>
        <w:continuationSeparator/>
      </w:r>
    </w:p>
  </w:footnote>
  <w:footnote w:id="1">
    <w:p w:rsidR="00B04D59" w:rsidRPr="00B259CF" w:rsidRDefault="00B04D59">
      <w:pPr>
        <w:pStyle w:val="Testonotaapidipagina"/>
        <w:rPr>
          <w:rFonts w:ascii="Times New Roman" w:hAnsi="Times New Roman" w:cs="Times New Roman"/>
          <w:lang w:val="en-US"/>
        </w:rPr>
      </w:pPr>
      <w:r>
        <w:rPr>
          <w:rStyle w:val="Rimandonotaapidipagina"/>
        </w:rPr>
        <w:footnoteRef/>
      </w:r>
      <w:r w:rsidRPr="00F37BF6">
        <w:rPr>
          <w:lang w:val="en-US"/>
        </w:rPr>
        <w:t xml:space="preserve"> </w:t>
      </w:r>
      <w:r w:rsidRPr="00B259CF">
        <w:rPr>
          <w:rFonts w:ascii="Times New Roman" w:hAnsi="Times New Roman" w:cs="Times New Roman"/>
          <w:lang w:val="en-US"/>
        </w:rPr>
        <w:t>BLUE – Enterprise and Trade Statistics: WP 4 “Improve the use of administrative sources”. http://www.cros-portal.eu/content/blue-ets</w:t>
      </w:r>
    </w:p>
  </w:footnote>
  <w:footnote w:id="2">
    <w:p w:rsidR="00B04D59" w:rsidRPr="00B259CF" w:rsidRDefault="00B04D59">
      <w:pPr>
        <w:pStyle w:val="Testonotaapidipagina"/>
        <w:rPr>
          <w:rFonts w:ascii="Times New Roman" w:hAnsi="Times New Roman" w:cs="Times New Roman"/>
          <w:lang w:val="en-US"/>
        </w:rPr>
      </w:pPr>
      <w:r w:rsidRPr="00B259CF">
        <w:rPr>
          <w:rStyle w:val="Rimandonotaapidipagina"/>
          <w:rFonts w:ascii="Times New Roman" w:hAnsi="Times New Roman" w:cs="Times New Roman"/>
        </w:rPr>
        <w:footnoteRef/>
      </w:r>
      <w:r w:rsidRPr="00B259CF">
        <w:rPr>
          <w:rFonts w:ascii="Times New Roman" w:hAnsi="Times New Roman" w:cs="Times New Roman"/>
          <w:lang w:val="en-US"/>
        </w:rPr>
        <w:t xml:space="preserve"> Use of administrative data and account data for business statistics: WP2 “Checklist for the quality of administrative data inputs”. http://www.cros-portal.eu/content/use-administrative-and-accounts-data-business-statistics.</w:t>
      </w:r>
    </w:p>
  </w:footnote>
  <w:footnote w:id="3">
    <w:p w:rsidR="00B04D59" w:rsidRPr="00B259CF" w:rsidRDefault="00B04D59" w:rsidP="005B6893">
      <w:pPr>
        <w:pStyle w:val="Testonotaapidipagina"/>
        <w:rPr>
          <w:rFonts w:ascii="Times New Roman" w:hAnsi="Times New Roman" w:cs="Times New Roman"/>
          <w:lang w:val="en-US"/>
        </w:rPr>
      </w:pPr>
      <w:r w:rsidRPr="00B259CF">
        <w:rPr>
          <w:rStyle w:val="Rimandonotaapidipagina"/>
          <w:rFonts w:ascii="Times New Roman" w:hAnsi="Times New Roman" w:cs="Times New Roman"/>
        </w:rPr>
        <w:footnoteRef/>
      </w:r>
      <w:r w:rsidRPr="00B259CF">
        <w:rPr>
          <w:rFonts w:ascii="Times New Roman" w:hAnsi="Times New Roman" w:cs="Times New Roman"/>
          <w:lang w:val="en-US"/>
        </w:rPr>
        <w:t xml:space="preserve"> Data Integration: WP2 “Development of Methods”.  http://www.cros-portal.eu/content/data-integration-1.</w:t>
      </w:r>
    </w:p>
  </w:footnote>
  <w:footnote w:id="4">
    <w:p w:rsidR="00B04D59" w:rsidRPr="00B259CF" w:rsidRDefault="00B04D59">
      <w:pPr>
        <w:pStyle w:val="Testonotaapidipagina"/>
        <w:rPr>
          <w:rFonts w:ascii="Times New Roman" w:hAnsi="Times New Roman" w:cs="Times New Roman"/>
          <w:lang w:val="en-US"/>
        </w:rPr>
      </w:pPr>
      <w:r>
        <w:rPr>
          <w:rStyle w:val="Rimandonotaapidipagina"/>
        </w:rPr>
        <w:footnoteRef/>
      </w:r>
      <w:r w:rsidRPr="00D80D77">
        <w:rPr>
          <w:lang w:val="en-US"/>
        </w:rPr>
        <w:t xml:space="preserve"> </w:t>
      </w:r>
      <w:r w:rsidRPr="00B259CF">
        <w:rPr>
          <w:rFonts w:ascii="Times New Roman" w:hAnsi="Times New Roman" w:cs="Times New Roman"/>
          <w:lang w:val="en-US"/>
        </w:rPr>
        <w:t xml:space="preserve">4-digits </w:t>
      </w:r>
      <w:proofErr w:type="spellStart"/>
      <w:r w:rsidRPr="00B259CF">
        <w:rPr>
          <w:rFonts w:ascii="Times New Roman" w:hAnsi="Times New Roman" w:cs="Times New Roman"/>
          <w:lang w:val="en-US"/>
        </w:rPr>
        <w:t>Nace</w:t>
      </w:r>
      <w:proofErr w:type="spellEnd"/>
      <w:r w:rsidRPr="00B259CF">
        <w:rPr>
          <w:rFonts w:ascii="Times New Roman" w:hAnsi="Times New Roman" w:cs="Times New Roman"/>
          <w:lang w:val="en-US"/>
        </w:rPr>
        <w:t xml:space="preserve">-code, 3-digits </w:t>
      </w:r>
      <w:proofErr w:type="spellStart"/>
      <w:r w:rsidRPr="00B259CF">
        <w:rPr>
          <w:rFonts w:ascii="Times New Roman" w:hAnsi="Times New Roman" w:cs="Times New Roman"/>
          <w:lang w:val="en-US"/>
        </w:rPr>
        <w:t>Nace</w:t>
      </w:r>
      <w:proofErr w:type="spellEnd"/>
      <w:r w:rsidRPr="00B259CF">
        <w:rPr>
          <w:rFonts w:ascii="Times New Roman" w:hAnsi="Times New Roman" w:cs="Times New Roman"/>
          <w:lang w:val="en-US"/>
        </w:rPr>
        <w:t xml:space="preserve">-code by 7 size classes, 2-digits </w:t>
      </w:r>
      <w:proofErr w:type="spellStart"/>
      <w:r w:rsidRPr="00B259CF">
        <w:rPr>
          <w:rFonts w:ascii="Times New Roman" w:hAnsi="Times New Roman" w:cs="Times New Roman"/>
          <w:lang w:val="en-US"/>
        </w:rPr>
        <w:t>Nace</w:t>
      </w:r>
      <w:proofErr w:type="spellEnd"/>
      <w:r w:rsidRPr="00B259CF">
        <w:rPr>
          <w:rFonts w:ascii="Times New Roman" w:hAnsi="Times New Roman" w:cs="Times New Roman"/>
          <w:lang w:val="en-US"/>
        </w:rPr>
        <w:t xml:space="preserve"> code by Regions (NUTS-2).</w:t>
      </w:r>
    </w:p>
  </w:footnote>
  <w:footnote w:id="5">
    <w:p w:rsidR="00B04D59" w:rsidRPr="00B259CF" w:rsidRDefault="00B04D59">
      <w:pPr>
        <w:pStyle w:val="Testonotaapidipagina"/>
        <w:rPr>
          <w:rFonts w:ascii="Times New Roman" w:hAnsi="Times New Roman" w:cs="Times New Roman"/>
          <w:lang w:val="en-US"/>
        </w:rPr>
      </w:pPr>
      <w:r w:rsidRPr="00B259CF">
        <w:rPr>
          <w:rStyle w:val="Rimandonotaapidipagina"/>
          <w:rFonts w:ascii="Times New Roman" w:hAnsi="Times New Roman" w:cs="Times New Roman"/>
        </w:rPr>
        <w:footnoteRef/>
      </w:r>
      <w:r w:rsidRPr="00B259CF">
        <w:rPr>
          <w:rFonts w:ascii="Times New Roman" w:hAnsi="Times New Roman" w:cs="Times New Roman"/>
          <w:lang w:val="en-US"/>
        </w:rPr>
        <w:t xml:space="preserve"> Two main SS models are available, depending on the unit’s legal form (individuals and private partnerships).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E7DA8"/>
    <w:lvl w:ilvl="0">
      <w:numFmt w:val="bullet"/>
      <w:lvlText w:val="*"/>
      <w:lvlJc w:val="left"/>
    </w:lvl>
  </w:abstractNum>
  <w:abstractNum w:abstractNumId="1">
    <w:nsid w:val="078068B0"/>
    <w:multiLevelType w:val="multilevel"/>
    <w:tmpl w:val="4566F05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90452F"/>
    <w:multiLevelType w:val="hybridMultilevel"/>
    <w:tmpl w:val="D0B076AC"/>
    <w:lvl w:ilvl="0" w:tplc="277C2482">
      <w:start w:val="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076B0B"/>
    <w:multiLevelType w:val="hybridMultilevel"/>
    <w:tmpl w:val="A718C4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3110F0"/>
    <w:multiLevelType w:val="multilevel"/>
    <w:tmpl w:val="FE06DCD4"/>
    <w:lvl w:ilvl="0">
      <w:start w:val="27"/>
      <w:numFmt w:val="bullet"/>
      <w:lvlText w:val="-"/>
      <w:lvlJc w:val="left"/>
      <w:pPr>
        <w:tabs>
          <w:tab w:val="num" w:pos="709"/>
        </w:tabs>
        <w:ind w:left="709" w:hanging="709"/>
      </w:pPr>
      <w:rPr>
        <w:rFonts w:ascii="Arial Narrow" w:eastAsia="Times New Roman" w:hAnsi="Arial Narrow" w:cs="Times New Roman" w:hint="default"/>
      </w:rPr>
    </w:lvl>
    <w:lvl w:ilvl="1">
      <w:start w:val="1"/>
      <w:numFmt w:val="bullet"/>
      <w:lvlText w:val=""/>
      <w:lvlJc w:val="left"/>
      <w:pPr>
        <w:tabs>
          <w:tab w:val="num" w:pos="1417"/>
        </w:tabs>
        <w:ind w:left="1417" w:hanging="708"/>
      </w:pPr>
      <w:rPr>
        <w:rFonts w:ascii="Symbol" w:hAnsi="Symbol" w:hint="default"/>
      </w:rPr>
    </w:lvl>
    <w:lvl w:ilvl="2">
      <w:start w:val="1"/>
      <w:numFmt w:val="bullet"/>
      <w:lvlText w:val="–"/>
      <w:lvlJc w:val="left"/>
      <w:pPr>
        <w:tabs>
          <w:tab w:val="num" w:pos="2126"/>
        </w:tabs>
        <w:ind w:left="2126" w:hanging="709"/>
      </w:pPr>
      <w:rPr>
        <w:rFonts w:ascii="Arial" w:hAnsi="Arial"/>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0EC12253"/>
    <w:multiLevelType w:val="hybridMultilevel"/>
    <w:tmpl w:val="168C4100"/>
    <w:lvl w:ilvl="0" w:tplc="BE4031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B97847"/>
    <w:multiLevelType w:val="hybridMultilevel"/>
    <w:tmpl w:val="D248C3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DD3599"/>
    <w:multiLevelType w:val="multilevel"/>
    <w:tmpl w:val="4EAA5BA6"/>
    <w:lvl w:ilvl="0">
      <w:start w:val="1"/>
      <w:numFmt w:val="decimal"/>
      <w:pStyle w:val="Numeroelenco"/>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Arial" w:hAnsi="Arial"/>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29607023"/>
    <w:multiLevelType w:val="hybridMultilevel"/>
    <w:tmpl w:val="97C262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1555058"/>
    <w:multiLevelType w:val="hybridMultilevel"/>
    <w:tmpl w:val="0CA4353C"/>
    <w:lvl w:ilvl="0" w:tplc="277C2482">
      <w:start w:val="54"/>
      <w:numFmt w:val="bullet"/>
      <w:lvlText w:val="-"/>
      <w:lvlJc w:val="left"/>
      <w:pPr>
        <w:tabs>
          <w:tab w:val="num" w:pos="720"/>
        </w:tabs>
        <w:ind w:left="720" w:hanging="360"/>
      </w:pPr>
      <w:rPr>
        <w:rFonts w:ascii="Times New Roman" w:eastAsiaTheme="minorHAnsi" w:hAnsi="Times New Roman" w:cs="Times New Roman"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nsid w:val="331A38A8"/>
    <w:multiLevelType w:val="multilevel"/>
    <w:tmpl w:val="4566F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7822BF2"/>
    <w:multiLevelType w:val="hybridMultilevel"/>
    <w:tmpl w:val="4D16AE46"/>
    <w:lvl w:ilvl="0" w:tplc="1F043258">
      <w:start w:val="2"/>
      <w:numFmt w:val="decimal"/>
      <w:lvlText w:val="%1)"/>
      <w:lvlJc w:val="left"/>
      <w:pPr>
        <w:tabs>
          <w:tab w:val="num" w:pos="720"/>
        </w:tabs>
        <w:ind w:left="720" w:hanging="360"/>
      </w:pPr>
    </w:lvl>
    <w:lvl w:ilvl="1" w:tplc="AB964F9E" w:tentative="1">
      <w:start w:val="1"/>
      <w:numFmt w:val="decimal"/>
      <w:lvlText w:val="%2)"/>
      <w:lvlJc w:val="left"/>
      <w:pPr>
        <w:tabs>
          <w:tab w:val="num" w:pos="1440"/>
        </w:tabs>
        <w:ind w:left="1440" w:hanging="360"/>
      </w:pPr>
    </w:lvl>
    <w:lvl w:ilvl="2" w:tplc="EEE682B4" w:tentative="1">
      <w:start w:val="1"/>
      <w:numFmt w:val="decimal"/>
      <w:lvlText w:val="%3)"/>
      <w:lvlJc w:val="left"/>
      <w:pPr>
        <w:tabs>
          <w:tab w:val="num" w:pos="2160"/>
        </w:tabs>
        <w:ind w:left="2160" w:hanging="360"/>
      </w:pPr>
    </w:lvl>
    <w:lvl w:ilvl="3" w:tplc="B358A60C" w:tentative="1">
      <w:start w:val="1"/>
      <w:numFmt w:val="decimal"/>
      <w:lvlText w:val="%4)"/>
      <w:lvlJc w:val="left"/>
      <w:pPr>
        <w:tabs>
          <w:tab w:val="num" w:pos="2880"/>
        </w:tabs>
        <w:ind w:left="2880" w:hanging="360"/>
      </w:pPr>
    </w:lvl>
    <w:lvl w:ilvl="4" w:tplc="B026303C" w:tentative="1">
      <w:start w:val="1"/>
      <w:numFmt w:val="decimal"/>
      <w:lvlText w:val="%5)"/>
      <w:lvlJc w:val="left"/>
      <w:pPr>
        <w:tabs>
          <w:tab w:val="num" w:pos="3600"/>
        </w:tabs>
        <w:ind w:left="3600" w:hanging="360"/>
      </w:pPr>
    </w:lvl>
    <w:lvl w:ilvl="5" w:tplc="FAFAFF7C" w:tentative="1">
      <w:start w:val="1"/>
      <w:numFmt w:val="decimal"/>
      <w:lvlText w:val="%6)"/>
      <w:lvlJc w:val="left"/>
      <w:pPr>
        <w:tabs>
          <w:tab w:val="num" w:pos="4320"/>
        </w:tabs>
        <w:ind w:left="4320" w:hanging="360"/>
      </w:pPr>
    </w:lvl>
    <w:lvl w:ilvl="6" w:tplc="BCEC6514" w:tentative="1">
      <w:start w:val="1"/>
      <w:numFmt w:val="decimal"/>
      <w:lvlText w:val="%7)"/>
      <w:lvlJc w:val="left"/>
      <w:pPr>
        <w:tabs>
          <w:tab w:val="num" w:pos="5040"/>
        </w:tabs>
        <w:ind w:left="5040" w:hanging="360"/>
      </w:pPr>
    </w:lvl>
    <w:lvl w:ilvl="7" w:tplc="0570FB08" w:tentative="1">
      <w:start w:val="1"/>
      <w:numFmt w:val="decimal"/>
      <w:lvlText w:val="%8)"/>
      <w:lvlJc w:val="left"/>
      <w:pPr>
        <w:tabs>
          <w:tab w:val="num" w:pos="5760"/>
        </w:tabs>
        <w:ind w:left="5760" w:hanging="360"/>
      </w:pPr>
    </w:lvl>
    <w:lvl w:ilvl="8" w:tplc="09AC884C" w:tentative="1">
      <w:start w:val="1"/>
      <w:numFmt w:val="decimal"/>
      <w:lvlText w:val="%9)"/>
      <w:lvlJc w:val="left"/>
      <w:pPr>
        <w:tabs>
          <w:tab w:val="num" w:pos="6480"/>
        </w:tabs>
        <w:ind w:left="6480" w:hanging="360"/>
      </w:pPr>
    </w:lvl>
  </w:abstractNum>
  <w:abstractNum w:abstractNumId="12">
    <w:nsid w:val="3878145C"/>
    <w:multiLevelType w:val="hybridMultilevel"/>
    <w:tmpl w:val="94702B9E"/>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AB9020B"/>
    <w:multiLevelType w:val="hybridMultilevel"/>
    <w:tmpl w:val="20A81848"/>
    <w:lvl w:ilvl="0" w:tplc="EB3C125E">
      <w:start w:val="1"/>
      <w:numFmt w:val="bullet"/>
      <w:lvlText w:val="-"/>
      <w:lvlJc w:val="left"/>
      <w:pPr>
        <w:tabs>
          <w:tab w:val="num" w:pos="720"/>
        </w:tabs>
        <w:ind w:left="720" w:hanging="360"/>
      </w:pPr>
      <w:rPr>
        <w:rFonts w:ascii="Calibri" w:hAnsi="Calibri" w:hint="default"/>
      </w:rPr>
    </w:lvl>
    <w:lvl w:ilvl="1" w:tplc="0FDCB27A" w:tentative="1">
      <w:start w:val="1"/>
      <w:numFmt w:val="bullet"/>
      <w:lvlText w:val="-"/>
      <w:lvlJc w:val="left"/>
      <w:pPr>
        <w:tabs>
          <w:tab w:val="num" w:pos="1440"/>
        </w:tabs>
        <w:ind w:left="1440" w:hanging="360"/>
      </w:pPr>
      <w:rPr>
        <w:rFonts w:ascii="Calibri" w:hAnsi="Calibri" w:hint="default"/>
      </w:rPr>
    </w:lvl>
    <w:lvl w:ilvl="2" w:tplc="9A02EC6E" w:tentative="1">
      <w:start w:val="1"/>
      <w:numFmt w:val="bullet"/>
      <w:lvlText w:val="-"/>
      <w:lvlJc w:val="left"/>
      <w:pPr>
        <w:tabs>
          <w:tab w:val="num" w:pos="2160"/>
        </w:tabs>
        <w:ind w:left="2160" w:hanging="360"/>
      </w:pPr>
      <w:rPr>
        <w:rFonts w:ascii="Calibri" w:hAnsi="Calibri" w:hint="default"/>
      </w:rPr>
    </w:lvl>
    <w:lvl w:ilvl="3" w:tplc="C84EFD52" w:tentative="1">
      <w:start w:val="1"/>
      <w:numFmt w:val="bullet"/>
      <w:lvlText w:val="-"/>
      <w:lvlJc w:val="left"/>
      <w:pPr>
        <w:tabs>
          <w:tab w:val="num" w:pos="2880"/>
        </w:tabs>
        <w:ind w:left="2880" w:hanging="360"/>
      </w:pPr>
      <w:rPr>
        <w:rFonts w:ascii="Calibri" w:hAnsi="Calibri" w:hint="default"/>
      </w:rPr>
    </w:lvl>
    <w:lvl w:ilvl="4" w:tplc="D40C4B90" w:tentative="1">
      <w:start w:val="1"/>
      <w:numFmt w:val="bullet"/>
      <w:lvlText w:val="-"/>
      <w:lvlJc w:val="left"/>
      <w:pPr>
        <w:tabs>
          <w:tab w:val="num" w:pos="3600"/>
        </w:tabs>
        <w:ind w:left="3600" w:hanging="360"/>
      </w:pPr>
      <w:rPr>
        <w:rFonts w:ascii="Calibri" w:hAnsi="Calibri" w:hint="default"/>
      </w:rPr>
    </w:lvl>
    <w:lvl w:ilvl="5" w:tplc="3DB47F76" w:tentative="1">
      <w:start w:val="1"/>
      <w:numFmt w:val="bullet"/>
      <w:lvlText w:val="-"/>
      <w:lvlJc w:val="left"/>
      <w:pPr>
        <w:tabs>
          <w:tab w:val="num" w:pos="4320"/>
        </w:tabs>
        <w:ind w:left="4320" w:hanging="360"/>
      </w:pPr>
      <w:rPr>
        <w:rFonts w:ascii="Calibri" w:hAnsi="Calibri" w:hint="default"/>
      </w:rPr>
    </w:lvl>
    <w:lvl w:ilvl="6" w:tplc="43629D7C" w:tentative="1">
      <w:start w:val="1"/>
      <w:numFmt w:val="bullet"/>
      <w:lvlText w:val="-"/>
      <w:lvlJc w:val="left"/>
      <w:pPr>
        <w:tabs>
          <w:tab w:val="num" w:pos="5040"/>
        </w:tabs>
        <w:ind w:left="5040" w:hanging="360"/>
      </w:pPr>
      <w:rPr>
        <w:rFonts w:ascii="Calibri" w:hAnsi="Calibri" w:hint="default"/>
      </w:rPr>
    </w:lvl>
    <w:lvl w:ilvl="7" w:tplc="29C864CE" w:tentative="1">
      <w:start w:val="1"/>
      <w:numFmt w:val="bullet"/>
      <w:lvlText w:val="-"/>
      <w:lvlJc w:val="left"/>
      <w:pPr>
        <w:tabs>
          <w:tab w:val="num" w:pos="5760"/>
        </w:tabs>
        <w:ind w:left="5760" w:hanging="360"/>
      </w:pPr>
      <w:rPr>
        <w:rFonts w:ascii="Calibri" w:hAnsi="Calibri" w:hint="default"/>
      </w:rPr>
    </w:lvl>
    <w:lvl w:ilvl="8" w:tplc="A4C49F90" w:tentative="1">
      <w:start w:val="1"/>
      <w:numFmt w:val="bullet"/>
      <w:lvlText w:val="-"/>
      <w:lvlJc w:val="left"/>
      <w:pPr>
        <w:tabs>
          <w:tab w:val="num" w:pos="6480"/>
        </w:tabs>
        <w:ind w:left="6480" w:hanging="360"/>
      </w:pPr>
      <w:rPr>
        <w:rFonts w:ascii="Calibri" w:hAnsi="Calibri" w:hint="default"/>
      </w:rPr>
    </w:lvl>
  </w:abstractNum>
  <w:abstractNum w:abstractNumId="14">
    <w:nsid w:val="3EEB7CFB"/>
    <w:multiLevelType w:val="hybridMultilevel"/>
    <w:tmpl w:val="0D5E1AF6"/>
    <w:lvl w:ilvl="0" w:tplc="D952AFD6">
      <w:start w:val="2"/>
      <w:numFmt w:val="decimal"/>
      <w:lvlText w:val="%1."/>
      <w:lvlJc w:val="left"/>
      <w:pPr>
        <w:tabs>
          <w:tab w:val="num" w:pos="720"/>
        </w:tabs>
        <w:ind w:left="720" w:hanging="360"/>
      </w:pPr>
    </w:lvl>
    <w:lvl w:ilvl="1" w:tplc="2E06E020" w:tentative="1">
      <w:start w:val="1"/>
      <w:numFmt w:val="decimal"/>
      <w:lvlText w:val="%2."/>
      <w:lvlJc w:val="left"/>
      <w:pPr>
        <w:tabs>
          <w:tab w:val="num" w:pos="1440"/>
        </w:tabs>
        <w:ind w:left="1440" w:hanging="360"/>
      </w:pPr>
    </w:lvl>
    <w:lvl w:ilvl="2" w:tplc="A52C32B0" w:tentative="1">
      <w:start w:val="1"/>
      <w:numFmt w:val="decimal"/>
      <w:lvlText w:val="%3."/>
      <w:lvlJc w:val="left"/>
      <w:pPr>
        <w:tabs>
          <w:tab w:val="num" w:pos="2160"/>
        </w:tabs>
        <w:ind w:left="2160" w:hanging="360"/>
      </w:pPr>
    </w:lvl>
    <w:lvl w:ilvl="3" w:tplc="E60293B2" w:tentative="1">
      <w:start w:val="1"/>
      <w:numFmt w:val="decimal"/>
      <w:lvlText w:val="%4."/>
      <w:lvlJc w:val="left"/>
      <w:pPr>
        <w:tabs>
          <w:tab w:val="num" w:pos="2880"/>
        </w:tabs>
        <w:ind w:left="2880" w:hanging="360"/>
      </w:pPr>
    </w:lvl>
    <w:lvl w:ilvl="4" w:tplc="B9824288" w:tentative="1">
      <w:start w:val="1"/>
      <w:numFmt w:val="decimal"/>
      <w:lvlText w:val="%5."/>
      <w:lvlJc w:val="left"/>
      <w:pPr>
        <w:tabs>
          <w:tab w:val="num" w:pos="3600"/>
        </w:tabs>
        <w:ind w:left="3600" w:hanging="360"/>
      </w:pPr>
    </w:lvl>
    <w:lvl w:ilvl="5" w:tplc="AE7A0BD6" w:tentative="1">
      <w:start w:val="1"/>
      <w:numFmt w:val="decimal"/>
      <w:lvlText w:val="%6."/>
      <w:lvlJc w:val="left"/>
      <w:pPr>
        <w:tabs>
          <w:tab w:val="num" w:pos="4320"/>
        </w:tabs>
        <w:ind w:left="4320" w:hanging="360"/>
      </w:pPr>
    </w:lvl>
    <w:lvl w:ilvl="6" w:tplc="52CAA9C8" w:tentative="1">
      <w:start w:val="1"/>
      <w:numFmt w:val="decimal"/>
      <w:lvlText w:val="%7."/>
      <w:lvlJc w:val="left"/>
      <w:pPr>
        <w:tabs>
          <w:tab w:val="num" w:pos="5040"/>
        </w:tabs>
        <w:ind w:left="5040" w:hanging="360"/>
      </w:pPr>
    </w:lvl>
    <w:lvl w:ilvl="7" w:tplc="0B6A3B88" w:tentative="1">
      <w:start w:val="1"/>
      <w:numFmt w:val="decimal"/>
      <w:lvlText w:val="%8."/>
      <w:lvlJc w:val="left"/>
      <w:pPr>
        <w:tabs>
          <w:tab w:val="num" w:pos="5760"/>
        </w:tabs>
        <w:ind w:left="5760" w:hanging="360"/>
      </w:pPr>
    </w:lvl>
    <w:lvl w:ilvl="8" w:tplc="29D64522" w:tentative="1">
      <w:start w:val="1"/>
      <w:numFmt w:val="decimal"/>
      <w:lvlText w:val="%9."/>
      <w:lvlJc w:val="left"/>
      <w:pPr>
        <w:tabs>
          <w:tab w:val="num" w:pos="6480"/>
        </w:tabs>
        <w:ind w:left="6480" w:hanging="360"/>
      </w:pPr>
    </w:lvl>
  </w:abstractNum>
  <w:abstractNum w:abstractNumId="15">
    <w:nsid w:val="401479CC"/>
    <w:multiLevelType w:val="multilevel"/>
    <w:tmpl w:val="4566F0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06E0D3E"/>
    <w:multiLevelType w:val="hybridMultilevel"/>
    <w:tmpl w:val="77A45F20"/>
    <w:lvl w:ilvl="0" w:tplc="5CDE375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B21EAA"/>
    <w:multiLevelType w:val="hybridMultilevel"/>
    <w:tmpl w:val="280A8AEA"/>
    <w:lvl w:ilvl="0" w:tplc="9D1CB15A">
      <w:start w:val="1"/>
      <w:numFmt w:val="bullet"/>
      <w:lvlText w:val="•"/>
      <w:lvlJc w:val="left"/>
      <w:pPr>
        <w:tabs>
          <w:tab w:val="num" w:pos="720"/>
        </w:tabs>
        <w:ind w:left="720" w:hanging="360"/>
      </w:pPr>
      <w:rPr>
        <w:rFonts w:ascii="Arial" w:hAnsi="Arial" w:hint="default"/>
      </w:rPr>
    </w:lvl>
    <w:lvl w:ilvl="1" w:tplc="52001ECA">
      <w:start w:val="1"/>
      <w:numFmt w:val="bullet"/>
      <w:lvlText w:val="•"/>
      <w:lvlJc w:val="left"/>
      <w:pPr>
        <w:tabs>
          <w:tab w:val="num" w:pos="1440"/>
        </w:tabs>
        <w:ind w:left="1440" w:hanging="360"/>
      </w:pPr>
      <w:rPr>
        <w:rFonts w:ascii="Arial" w:hAnsi="Arial" w:hint="default"/>
      </w:rPr>
    </w:lvl>
    <w:lvl w:ilvl="2" w:tplc="A496AF82">
      <w:start w:val="1302"/>
      <w:numFmt w:val="bullet"/>
      <w:lvlText w:val="•"/>
      <w:lvlJc w:val="left"/>
      <w:pPr>
        <w:tabs>
          <w:tab w:val="num" w:pos="2160"/>
        </w:tabs>
        <w:ind w:left="2160" w:hanging="360"/>
      </w:pPr>
      <w:rPr>
        <w:rFonts w:ascii="Arial" w:hAnsi="Arial" w:hint="default"/>
      </w:rPr>
    </w:lvl>
    <w:lvl w:ilvl="3" w:tplc="A4E8D6D2" w:tentative="1">
      <w:start w:val="1"/>
      <w:numFmt w:val="bullet"/>
      <w:lvlText w:val="•"/>
      <w:lvlJc w:val="left"/>
      <w:pPr>
        <w:tabs>
          <w:tab w:val="num" w:pos="2880"/>
        </w:tabs>
        <w:ind w:left="2880" w:hanging="360"/>
      </w:pPr>
      <w:rPr>
        <w:rFonts w:ascii="Arial" w:hAnsi="Arial" w:hint="default"/>
      </w:rPr>
    </w:lvl>
    <w:lvl w:ilvl="4" w:tplc="E774C980">
      <w:start w:val="1302"/>
      <w:numFmt w:val="bullet"/>
      <w:lvlText w:val="•"/>
      <w:lvlJc w:val="left"/>
      <w:pPr>
        <w:tabs>
          <w:tab w:val="num" w:pos="3600"/>
        </w:tabs>
        <w:ind w:left="3600" w:hanging="360"/>
      </w:pPr>
      <w:rPr>
        <w:rFonts w:ascii="Arial" w:hAnsi="Arial" w:hint="default"/>
      </w:rPr>
    </w:lvl>
    <w:lvl w:ilvl="5" w:tplc="CBB81080" w:tentative="1">
      <w:start w:val="1"/>
      <w:numFmt w:val="bullet"/>
      <w:lvlText w:val="•"/>
      <w:lvlJc w:val="left"/>
      <w:pPr>
        <w:tabs>
          <w:tab w:val="num" w:pos="4320"/>
        </w:tabs>
        <w:ind w:left="4320" w:hanging="360"/>
      </w:pPr>
      <w:rPr>
        <w:rFonts w:ascii="Arial" w:hAnsi="Arial" w:hint="default"/>
      </w:rPr>
    </w:lvl>
    <w:lvl w:ilvl="6" w:tplc="5C2C5ABA" w:tentative="1">
      <w:start w:val="1"/>
      <w:numFmt w:val="bullet"/>
      <w:lvlText w:val="•"/>
      <w:lvlJc w:val="left"/>
      <w:pPr>
        <w:tabs>
          <w:tab w:val="num" w:pos="5040"/>
        </w:tabs>
        <w:ind w:left="5040" w:hanging="360"/>
      </w:pPr>
      <w:rPr>
        <w:rFonts w:ascii="Arial" w:hAnsi="Arial" w:hint="default"/>
      </w:rPr>
    </w:lvl>
    <w:lvl w:ilvl="7" w:tplc="24AC3222" w:tentative="1">
      <w:start w:val="1"/>
      <w:numFmt w:val="bullet"/>
      <w:lvlText w:val="•"/>
      <w:lvlJc w:val="left"/>
      <w:pPr>
        <w:tabs>
          <w:tab w:val="num" w:pos="5760"/>
        </w:tabs>
        <w:ind w:left="5760" w:hanging="360"/>
      </w:pPr>
      <w:rPr>
        <w:rFonts w:ascii="Arial" w:hAnsi="Arial" w:hint="default"/>
      </w:rPr>
    </w:lvl>
    <w:lvl w:ilvl="8" w:tplc="BA6A23D4" w:tentative="1">
      <w:start w:val="1"/>
      <w:numFmt w:val="bullet"/>
      <w:lvlText w:val="•"/>
      <w:lvlJc w:val="left"/>
      <w:pPr>
        <w:tabs>
          <w:tab w:val="num" w:pos="6480"/>
        </w:tabs>
        <w:ind w:left="6480" w:hanging="360"/>
      </w:pPr>
      <w:rPr>
        <w:rFonts w:ascii="Arial" w:hAnsi="Arial" w:hint="default"/>
      </w:rPr>
    </w:lvl>
  </w:abstractNum>
  <w:abstractNum w:abstractNumId="18">
    <w:nsid w:val="48965470"/>
    <w:multiLevelType w:val="hybridMultilevel"/>
    <w:tmpl w:val="0F629B30"/>
    <w:lvl w:ilvl="0" w:tplc="1C44A7B4">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CC574CB"/>
    <w:multiLevelType w:val="hybridMultilevel"/>
    <w:tmpl w:val="CB701B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CDE2D76"/>
    <w:multiLevelType w:val="hybridMultilevel"/>
    <w:tmpl w:val="AA0C3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BD5CE8"/>
    <w:multiLevelType w:val="hybridMultilevel"/>
    <w:tmpl w:val="0FCA246C"/>
    <w:lvl w:ilvl="0" w:tplc="88268A0C">
      <w:start w:val="1"/>
      <w:numFmt w:val="bullet"/>
      <w:lvlText w:val="•"/>
      <w:lvlJc w:val="left"/>
      <w:pPr>
        <w:tabs>
          <w:tab w:val="num" w:pos="720"/>
        </w:tabs>
        <w:ind w:left="720" w:hanging="360"/>
      </w:pPr>
      <w:rPr>
        <w:rFonts w:ascii="Arial" w:hAnsi="Arial" w:hint="default"/>
      </w:rPr>
    </w:lvl>
    <w:lvl w:ilvl="1" w:tplc="7FF69252" w:tentative="1">
      <w:start w:val="1"/>
      <w:numFmt w:val="bullet"/>
      <w:lvlText w:val="•"/>
      <w:lvlJc w:val="left"/>
      <w:pPr>
        <w:tabs>
          <w:tab w:val="num" w:pos="1440"/>
        </w:tabs>
        <w:ind w:left="1440" w:hanging="360"/>
      </w:pPr>
      <w:rPr>
        <w:rFonts w:ascii="Arial" w:hAnsi="Arial" w:hint="default"/>
      </w:rPr>
    </w:lvl>
    <w:lvl w:ilvl="2" w:tplc="C85E3BA0" w:tentative="1">
      <w:start w:val="1"/>
      <w:numFmt w:val="bullet"/>
      <w:lvlText w:val="•"/>
      <w:lvlJc w:val="left"/>
      <w:pPr>
        <w:tabs>
          <w:tab w:val="num" w:pos="2160"/>
        </w:tabs>
        <w:ind w:left="2160" w:hanging="360"/>
      </w:pPr>
      <w:rPr>
        <w:rFonts w:ascii="Arial" w:hAnsi="Arial" w:hint="default"/>
      </w:rPr>
    </w:lvl>
    <w:lvl w:ilvl="3" w:tplc="F36E47BA" w:tentative="1">
      <w:start w:val="1"/>
      <w:numFmt w:val="bullet"/>
      <w:lvlText w:val="•"/>
      <w:lvlJc w:val="left"/>
      <w:pPr>
        <w:tabs>
          <w:tab w:val="num" w:pos="2880"/>
        </w:tabs>
        <w:ind w:left="2880" w:hanging="360"/>
      </w:pPr>
      <w:rPr>
        <w:rFonts w:ascii="Arial" w:hAnsi="Arial" w:hint="default"/>
      </w:rPr>
    </w:lvl>
    <w:lvl w:ilvl="4" w:tplc="15AA5A62" w:tentative="1">
      <w:start w:val="1"/>
      <w:numFmt w:val="bullet"/>
      <w:lvlText w:val="•"/>
      <w:lvlJc w:val="left"/>
      <w:pPr>
        <w:tabs>
          <w:tab w:val="num" w:pos="3600"/>
        </w:tabs>
        <w:ind w:left="3600" w:hanging="360"/>
      </w:pPr>
      <w:rPr>
        <w:rFonts w:ascii="Arial" w:hAnsi="Arial" w:hint="default"/>
      </w:rPr>
    </w:lvl>
    <w:lvl w:ilvl="5" w:tplc="F5789D58" w:tentative="1">
      <w:start w:val="1"/>
      <w:numFmt w:val="bullet"/>
      <w:lvlText w:val="•"/>
      <w:lvlJc w:val="left"/>
      <w:pPr>
        <w:tabs>
          <w:tab w:val="num" w:pos="4320"/>
        </w:tabs>
        <w:ind w:left="4320" w:hanging="360"/>
      </w:pPr>
      <w:rPr>
        <w:rFonts w:ascii="Arial" w:hAnsi="Arial" w:hint="default"/>
      </w:rPr>
    </w:lvl>
    <w:lvl w:ilvl="6" w:tplc="ADD09BB2" w:tentative="1">
      <w:start w:val="1"/>
      <w:numFmt w:val="bullet"/>
      <w:lvlText w:val="•"/>
      <w:lvlJc w:val="left"/>
      <w:pPr>
        <w:tabs>
          <w:tab w:val="num" w:pos="5040"/>
        </w:tabs>
        <w:ind w:left="5040" w:hanging="360"/>
      </w:pPr>
      <w:rPr>
        <w:rFonts w:ascii="Arial" w:hAnsi="Arial" w:hint="default"/>
      </w:rPr>
    </w:lvl>
    <w:lvl w:ilvl="7" w:tplc="A1E445C6" w:tentative="1">
      <w:start w:val="1"/>
      <w:numFmt w:val="bullet"/>
      <w:lvlText w:val="•"/>
      <w:lvlJc w:val="left"/>
      <w:pPr>
        <w:tabs>
          <w:tab w:val="num" w:pos="5760"/>
        </w:tabs>
        <w:ind w:left="5760" w:hanging="360"/>
      </w:pPr>
      <w:rPr>
        <w:rFonts w:ascii="Arial" w:hAnsi="Arial" w:hint="default"/>
      </w:rPr>
    </w:lvl>
    <w:lvl w:ilvl="8" w:tplc="42F8947C" w:tentative="1">
      <w:start w:val="1"/>
      <w:numFmt w:val="bullet"/>
      <w:lvlText w:val="•"/>
      <w:lvlJc w:val="left"/>
      <w:pPr>
        <w:tabs>
          <w:tab w:val="num" w:pos="6480"/>
        </w:tabs>
        <w:ind w:left="6480" w:hanging="360"/>
      </w:pPr>
      <w:rPr>
        <w:rFonts w:ascii="Arial" w:hAnsi="Arial" w:hint="default"/>
      </w:rPr>
    </w:lvl>
  </w:abstractNum>
  <w:abstractNum w:abstractNumId="22">
    <w:nsid w:val="5CBB2FAD"/>
    <w:multiLevelType w:val="hybridMultilevel"/>
    <w:tmpl w:val="09E04EEE"/>
    <w:lvl w:ilvl="0" w:tplc="A2BC740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CC372E9"/>
    <w:multiLevelType w:val="hybridMultilevel"/>
    <w:tmpl w:val="25603B22"/>
    <w:lvl w:ilvl="0" w:tplc="1C44A7B4">
      <w:start w:val="1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05F57EB"/>
    <w:multiLevelType w:val="hybridMultilevel"/>
    <w:tmpl w:val="DF44BE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9824DF"/>
    <w:multiLevelType w:val="hybridMultilevel"/>
    <w:tmpl w:val="571ADCF0"/>
    <w:lvl w:ilvl="0" w:tplc="BE403108">
      <w:start w:val="1"/>
      <w:numFmt w:val="bullet"/>
      <w:lvlText w:val=""/>
      <w:lvlJc w:val="left"/>
      <w:pPr>
        <w:ind w:left="546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9C4BFF"/>
    <w:multiLevelType w:val="hybridMultilevel"/>
    <w:tmpl w:val="6874A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A6F7283"/>
    <w:multiLevelType w:val="hybridMultilevel"/>
    <w:tmpl w:val="C4C69626"/>
    <w:lvl w:ilvl="0" w:tplc="78CE1CF8">
      <w:start w:val="1"/>
      <w:numFmt w:val="bullet"/>
      <w:lvlText w:val=""/>
      <w:lvlJc w:val="left"/>
      <w:pPr>
        <w:tabs>
          <w:tab w:val="num" w:pos="720"/>
        </w:tabs>
        <w:ind w:left="720" w:hanging="360"/>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8">
    <w:nsid w:val="6CF37DCC"/>
    <w:multiLevelType w:val="hybridMultilevel"/>
    <w:tmpl w:val="C1E857DE"/>
    <w:lvl w:ilvl="0" w:tplc="BE40310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38F0FD3"/>
    <w:multiLevelType w:val="hybridMultilevel"/>
    <w:tmpl w:val="66426E06"/>
    <w:lvl w:ilvl="0" w:tplc="744026E4">
      <w:start w:val="1"/>
      <w:numFmt w:val="bullet"/>
      <w:lvlText w:val="•"/>
      <w:lvlJc w:val="left"/>
      <w:pPr>
        <w:tabs>
          <w:tab w:val="num" w:pos="720"/>
        </w:tabs>
        <w:ind w:left="720" w:hanging="360"/>
      </w:pPr>
      <w:rPr>
        <w:rFonts w:ascii="Arial" w:hAnsi="Arial" w:hint="default"/>
      </w:rPr>
    </w:lvl>
    <w:lvl w:ilvl="1" w:tplc="62E0B3D0">
      <w:start w:val="653"/>
      <w:numFmt w:val="bullet"/>
      <w:lvlText w:val="•"/>
      <w:lvlJc w:val="left"/>
      <w:pPr>
        <w:tabs>
          <w:tab w:val="num" w:pos="1440"/>
        </w:tabs>
        <w:ind w:left="1440" w:hanging="360"/>
      </w:pPr>
      <w:rPr>
        <w:rFonts w:ascii="Arial" w:hAnsi="Arial" w:hint="default"/>
      </w:rPr>
    </w:lvl>
    <w:lvl w:ilvl="2" w:tplc="E4C4C3F0" w:tentative="1">
      <w:start w:val="1"/>
      <w:numFmt w:val="bullet"/>
      <w:lvlText w:val="•"/>
      <w:lvlJc w:val="left"/>
      <w:pPr>
        <w:tabs>
          <w:tab w:val="num" w:pos="2160"/>
        </w:tabs>
        <w:ind w:left="2160" w:hanging="360"/>
      </w:pPr>
      <w:rPr>
        <w:rFonts w:ascii="Arial" w:hAnsi="Arial" w:hint="default"/>
      </w:rPr>
    </w:lvl>
    <w:lvl w:ilvl="3" w:tplc="4870818C" w:tentative="1">
      <w:start w:val="1"/>
      <w:numFmt w:val="bullet"/>
      <w:lvlText w:val="•"/>
      <w:lvlJc w:val="left"/>
      <w:pPr>
        <w:tabs>
          <w:tab w:val="num" w:pos="2880"/>
        </w:tabs>
        <w:ind w:left="2880" w:hanging="360"/>
      </w:pPr>
      <w:rPr>
        <w:rFonts w:ascii="Arial" w:hAnsi="Arial" w:hint="default"/>
      </w:rPr>
    </w:lvl>
    <w:lvl w:ilvl="4" w:tplc="6B18E7C0" w:tentative="1">
      <w:start w:val="1"/>
      <w:numFmt w:val="bullet"/>
      <w:lvlText w:val="•"/>
      <w:lvlJc w:val="left"/>
      <w:pPr>
        <w:tabs>
          <w:tab w:val="num" w:pos="3600"/>
        </w:tabs>
        <w:ind w:left="3600" w:hanging="360"/>
      </w:pPr>
      <w:rPr>
        <w:rFonts w:ascii="Arial" w:hAnsi="Arial" w:hint="default"/>
      </w:rPr>
    </w:lvl>
    <w:lvl w:ilvl="5" w:tplc="313ADF16" w:tentative="1">
      <w:start w:val="1"/>
      <w:numFmt w:val="bullet"/>
      <w:lvlText w:val="•"/>
      <w:lvlJc w:val="left"/>
      <w:pPr>
        <w:tabs>
          <w:tab w:val="num" w:pos="4320"/>
        </w:tabs>
        <w:ind w:left="4320" w:hanging="360"/>
      </w:pPr>
      <w:rPr>
        <w:rFonts w:ascii="Arial" w:hAnsi="Arial" w:hint="default"/>
      </w:rPr>
    </w:lvl>
    <w:lvl w:ilvl="6" w:tplc="DF067B26" w:tentative="1">
      <w:start w:val="1"/>
      <w:numFmt w:val="bullet"/>
      <w:lvlText w:val="•"/>
      <w:lvlJc w:val="left"/>
      <w:pPr>
        <w:tabs>
          <w:tab w:val="num" w:pos="5040"/>
        </w:tabs>
        <w:ind w:left="5040" w:hanging="360"/>
      </w:pPr>
      <w:rPr>
        <w:rFonts w:ascii="Arial" w:hAnsi="Arial" w:hint="default"/>
      </w:rPr>
    </w:lvl>
    <w:lvl w:ilvl="7" w:tplc="CFA6B190" w:tentative="1">
      <w:start w:val="1"/>
      <w:numFmt w:val="bullet"/>
      <w:lvlText w:val="•"/>
      <w:lvlJc w:val="left"/>
      <w:pPr>
        <w:tabs>
          <w:tab w:val="num" w:pos="5760"/>
        </w:tabs>
        <w:ind w:left="5760" w:hanging="360"/>
      </w:pPr>
      <w:rPr>
        <w:rFonts w:ascii="Arial" w:hAnsi="Arial" w:hint="default"/>
      </w:rPr>
    </w:lvl>
    <w:lvl w:ilvl="8" w:tplc="59D4B1DE" w:tentative="1">
      <w:start w:val="1"/>
      <w:numFmt w:val="bullet"/>
      <w:lvlText w:val="•"/>
      <w:lvlJc w:val="left"/>
      <w:pPr>
        <w:tabs>
          <w:tab w:val="num" w:pos="6480"/>
        </w:tabs>
        <w:ind w:left="6480" w:hanging="360"/>
      </w:pPr>
      <w:rPr>
        <w:rFonts w:ascii="Arial" w:hAnsi="Arial" w:hint="default"/>
      </w:rPr>
    </w:lvl>
  </w:abstractNum>
  <w:abstractNum w:abstractNumId="30">
    <w:nsid w:val="77803CAB"/>
    <w:multiLevelType w:val="hybridMultilevel"/>
    <w:tmpl w:val="6D50EE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856CAA"/>
    <w:multiLevelType w:val="hybridMultilevel"/>
    <w:tmpl w:val="F92EDE7E"/>
    <w:lvl w:ilvl="0" w:tplc="277C2482">
      <w:start w:val="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7DB639B"/>
    <w:multiLevelType w:val="hybridMultilevel"/>
    <w:tmpl w:val="F5B483B2"/>
    <w:lvl w:ilvl="0" w:tplc="C23E817A">
      <w:start w:val="1"/>
      <w:numFmt w:val="bullet"/>
      <w:lvlText w:val="•"/>
      <w:lvlJc w:val="left"/>
      <w:pPr>
        <w:tabs>
          <w:tab w:val="num" w:pos="720"/>
        </w:tabs>
        <w:ind w:left="720" w:hanging="360"/>
      </w:pPr>
      <w:rPr>
        <w:rFonts w:ascii="Arial" w:hAnsi="Arial" w:hint="default"/>
      </w:rPr>
    </w:lvl>
    <w:lvl w:ilvl="1" w:tplc="A9B8A67C" w:tentative="1">
      <w:start w:val="1"/>
      <w:numFmt w:val="bullet"/>
      <w:lvlText w:val="•"/>
      <w:lvlJc w:val="left"/>
      <w:pPr>
        <w:tabs>
          <w:tab w:val="num" w:pos="1440"/>
        </w:tabs>
        <w:ind w:left="1440" w:hanging="360"/>
      </w:pPr>
      <w:rPr>
        <w:rFonts w:ascii="Arial" w:hAnsi="Arial" w:hint="default"/>
      </w:rPr>
    </w:lvl>
    <w:lvl w:ilvl="2" w:tplc="7736D4AC">
      <w:start w:val="1"/>
      <w:numFmt w:val="bullet"/>
      <w:lvlText w:val="•"/>
      <w:lvlJc w:val="left"/>
      <w:pPr>
        <w:tabs>
          <w:tab w:val="num" w:pos="2160"/>
        </w:tabs>
        <w:ind w:left="2160" w:hanging="360"/>
      </w:pPr>
      <w:rPr>
        <w:rFonts w:ascii="Arial" w:hAnsi="Arial" w:hint="default"/>
      </w:rPr>
    </w:lvl>
    <w:lvl w:ilvl="3" w:tplc="473640D0" w:tentative="1">
      <w:start w:val="1"/>
      <w:numFmt w:val="bullet"/>
      <w:lvlText w:val="•"/>
      <w:lvlJc w:val="left"/>
      <w:pPr>
        <w:tabs>
          <w:tab w:val="num" w:pos="2880"/>
        </w:tabs>
        <w:ind w:left="2880" w:hanging="360"/>
      </w:pPr>
      <w:rPr>
        <w:rFonts w:ascii="Arial" w:hAnsi="Arial" w:hint="default"/>
      </w:rPr>
    </w:lvl>
    <w:lvl w:ilvl="4" w:tplc="C532AF2C" w:tentative="1">
      <w:start w:val="1"/>
      <w:numFmt w:val="bullet"/>
      <w:lvlText w:val="•"/>
      <w:lvlJc w:val="left"/>
      <w:pPr>
        <w:tabs>
          <w:tab w:val="num" w:pos="3600"/>
        </w:tabs>
        <w:ind w:left="3600" w:hanging="360"/>
      </w:pPr>
      <w:rPr>
        <w:rFonts w:ascii="Arial" w:hAnsi="Arial" w:hint="default"/>
      </w:rPr>
    </w:lvl>
    <w:lvl w:ilvl="5" w:tplc="A668938A" w:tentative="1">
      <w:start w:val="1"/>
      <w:numFmt w:val="bullet"/>
      <w:lvlText w:val="•"/>
      <w:lvlJc w:val="left"/>
      <w:pPr>
        <w:tabs>
          <w:tab w:val="num" w:pos="4320"/>
        </w:tabs>
        <w:ind w:left="4320" w:hanging="360"/>
      </w:pPr>
      <w:rPr>
        <w:rFonts w:ascii="Arial" w:hAnsi="Arial" w:hint="default"/>
      </w:rPr>
    </w:lvl>
    <w:lvl w:ilvl="6" w:tplc="B44E9168" w:tentative="1">
      <w:start w:val="1"/>
      <w:numFmt w:val="bullet"/>
      <w:lvlText w:val="•"/>
      <w:lvlJc w:val="left"/>
      <w:pPr>
        <w:tabs>
          <w:tab w:val="num" w:pos="5040"/>
        </w:tabs>
        <w:ind w:left="5040" w:hanging="360"/>
      </w:pPr>
      <w:rPr>
        <w:rFonts w:ascii="Arial" w:hAnsi="Arial" w:hint="default"/>
      </w:rPr>
    </w:lvl>
    <w:lvl w:ilvl="7" w:tplc="CDACE022" w:tentative="1">
      <w:start w:val="1"/>
      <w:numFmt w:val="bullet"/>
      <w:lvlText w:val="•"/>
      <w:lvlJc w:val="left"/>
      <w:pPr>
        <w:tabs>
          <w:tab w:val="num" w:pos="5760"/>
        </w:tabs>
        <w:ind w:left="5760" w:hanging="360"/>
      </w:pPr>
      <w:rPr>
        <w:rFonts w:ascii="Arial" w:hAnsi="Arial" w:hint="default"/>
      </w:rPr>
    </w:lvl>
    <w:lvl w:ilvl="8" w:tplc="33D85DC6" w:tentative="1">
      <w:start w:val="1"/>
      <w:numFmt w:val="bullet"/>
      <w:lvlText w:val="•"/>
      <w:lvlJc w:val="left"/>
      <w:pPr>
        <w:tabs>
          <w:tab w:val="num" w:pos="6480"/>
        </w:tabs>
        <w:ind w:left="6480" w:hanging="360"/>
      </w:pPr>
      <w:rPr>
        <w:rFonts w:ascii="Arial" w:hAnsi="Arial" w:hint="default"/>
      </w:rPr>
    </w:lvl>
  </w:abstractNum>
  <w:abstractNum w:abstractNumId="33">
    <w:nsid w:val="79534172"/>
    <w:multiLevelType w:val="hybridMultilevel"/>
    <w:tmpl w:val="0A9433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DE46FE8"/>
    <w:multiLevelType w:val="hybridMultilevel"/>
    <w:tmpl w:val="E90E4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7"/>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lvl w:ilvl="0">
        <w:numFmt w:val="bullet"/>
        <w:lvlText w:val="•"/>
        <w:legacy w:legacy="1" w:legacySpace="0" w:legacyIndent="0"/>
        <w:lvlJc w:val="left"/>
        <w:rPr>
          <w:rFonts w:ascii="Arial" w:hAnsi="Arial" w:cs="Arial" w:hint="default"/>
          <w:sz w:val="32"/>
        </w:rPr>
      </w:lvl>
    </w:lvlOverride>
  </w:num>
  <w:num w:numId="5">
    <w:abstractNumId w:val="28"/>
  </w:num>
  <w:num w:numId="6">
    <w:abstractNumId w:val="19"/>
  </w:num>
  <w:num w:numId="7">
    <w:abstractNumId w:val="10"/>
  </w:num>
  <w:num w:numId="8">
    <w:abstractNumId w:val="3"/>
  </w:num>
  <w:num w:numId="9">
    <w:abstractNumId w:val="22"/>
  </w:num>
  <w:num w:numId="10">
    <w:abstractNumId w:val="32"/>
  </w:num>
  <w:num w:numId="11">
    <w:abstractNumId w:val="11"/>
  </w:num>
  <w:num w:numId="12">
    <w:abstractNumId w:val="21"/>
  </w:num>
  <w:num w:numId="13">
    <w:abstractNumId w:val="26"/>
  </w:num>
  <w:num w:numId="14">
    <w:abstractNumId w:val="25"/>
  </w:num>
  <w:num w:numId="15">
    <w:abstractNumId w:val="29"/>
  </w:num>
  <w:num w:numId="16">
    <w:abstractNumId w:val="23"/>
  </w:num>
  <w:num w:numId="17">
    <w:abstractNumId w:val="20"/>
  </w:num>
  <w:num w:numId="18">
    <w:abstractNumId w:val="18"/>
  </w:num>
  <w:num w:numId="19">
    <w:abstractNumId w:val="17"/>
  </w:num>
  <w:num w:numId="20">
    <w:abstractNumId w:val="13"/>
  </w:num>
  <w:num w:numId="21">
    <w:abstractNumId w:val="12"/>
  </w:num>
  <w:num w:numId="22">
    <w:abstractNumId w:val="16"/>
  </w:num>
  <w:num w:numId="23">
    <w:abstractNumId w:val="24"/>
  </w:num>
  <w:num w:numId="24">
    <w:abstractNumId w:val="6"/>
  </w:num>
  <w:num w:numId="25">
    <w:abstractNumId w:val="1"/>
  </w:num>
  <w:num w:numId="26">
    <w:abstractNumId w:val="34"/>
  </w:num>
  <w:num w:numId="27">
    <w:abstractNumId w:val="33"/>
  </w:num>
  <w:num w:numId="28">
    <w:abstractNumId w:val="0"/>
    <w:lvlOverride w:ilvl="0">
      <w:lvl w:ilvl="0">
        <w:numFmt w:val="bullet"/>
        <w:lvlText w:val="•"/>
        <w:legacy w:legacy="1" w:legacySpace="0" w:legacyIndent="0"/>
        <w:lvlJc w:val="left"/>
        <w:rPr>
          <w:rFonts w:ascii="Arial" w:hAnsi="Arial" w:cs="Arial" w:hint="default"/>
          <w:sz w:val="38"/>
        </w:rPr>
      </w:lvl>
    </w:lvlOverride>
  </w:num>
  <w:num w:numId="29">
    <w:abstractNumId w:val="8"/>
  </w:num>
  <w:num w:numId="30">
    <w:abstractNumId w:val="5"/>
  </w:num>
  <w:num w:numId="31">
    <w:abstractNumId w:val="15"/>
  </w:num>
  <w:num w:numId="32">
    <w:abstractNumId w:val="2"/>
  </w:num>
  <w:num w:numId="33">
    <w:abstractNumId w:val="27"/>
  </w:num>
  <w:num w:numId="34">
    <w:abstractNumId w:val="30"/>
  </w:num>
  <w:num w:numId="35">
    <w:abstractNumId w:val="3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94C"/>
    <w:rsid w:val="000321EB"/>
    <w:rsid w:val="0004088B"/>
    <w:rsid w:val="00041410"/>
    <w:rsid w:val="00043529"/>
    <w:rsid w:val="000448E0"/>
    <w:rsid w:val="000454CC"/>
    <w:rsid w:val="000562C8"/>
    <w:rsid w:val="00073E81"/>
    <w:rsid w:val="00080394"/>
    <w:rsid w:val="00095787"/>
    <w:rsid w:val="000A4FA3"/>
    <w:rsid w:val="000B5279"/>
    <w:rsid w:val="000C7898"/>
    <w:rsid w:val="000D72EF"/>
    <w:rsid w:val="000E3338"/>
    <w:rsid w:val="000E652B"/>
    <w:rsid w:val="00130825"/>
    <w:rsid w:val="00134201"/>
    <w:rsid w:val="00136642"/>
    <w:rsid w:val="00136891"/>
    <w:rsid w:val="00143B1C"/>
    <w:rsid w:val="00157877"/>
    <w:rsid w:val="00157ACE"/>
    <w:rsid w:val="001752C2"/>
    <w:rsid w:val="0018133C"/>
    <w:rsid w:val="001B481A"/>
    <w:rsid w:val="001E7AC0"/>
    <w:rsid w:val="001F2950"/>
    <w:rsid w:val="00216FDC"/>
    <w:rsid w:val="00225876"/>
    <w:rsid w:val="002261F7"/>
    <w:rsid w:val="00234A26"/>
    <w:rsid w:val="002432E1"/>
    <w:rsid w:val="00243634"/>
    <w:rsid w:val="002505E2"/>
    <w:rsid w:val="00256FE7"/>
    <w:rsid w:val="00263DF8"/>
    <w:rsid w:val="002744CA"/>
    <w:rsid w:val="00275AF1"/>
    <w:rsid w:val="002948F6"/>
    <w:rsid w:val="0029627D"/>
    <w:rsid w:val="002963BE"/>
    <w:rsid w:val="002A029B"/>
    <w:rsid w:val="002B1A95"/>
    <w:rsid w:val="002C33D3"/>
    <w:rsid w:val="002C5ED5"/>
    <w:rsid w:val="002E119C"/>
    <w:rsid w:val="00310380"/>
    <w:rsid w:val="00320B04"/>
    <w:rsid w:val="00322BBF"/>
    <w:rsid w:val="003329EF"/>
    <w:rsid w:val="00342499"/>
    <w:rsid w:val="003E694C"/>
    <w:rsid w:val="00414389"/>
    <w:rsid w:val="00414C28"/>
    <w:rsid w:val="0042693D"/>
    <w:rsid w:val="00431EBC"/>
    <w:rsid w:val="00445103"/>
    <w:rsid w:val="00447444"/>
    <w:rsid w:val="00475680"/>
    <w:rsid w:val="00487849"/>
    <w:rsid w:val="0049045E"/>
    <w:rsid w:val="00493DAB"/>
    <w:rsid w:val="004B1077"/>
    <w:rsid w:val="004D4439"/>
    <w:rsid w:val="004D7E93"/>
    <w:rsid w:val="0051237C"/>
    <w:rsid w:val="005A51AA"/>
    <w:rsid w:val="005B3EC3"/>
    <w:rsid w:val="005B6893"/>
    <w:rsid w:val="005C6A13"/>
    <w:rsid w:val="005C7853"/>
    <w:rsid w:val="005D3F0A"/>
    <w:rsid w:val="005D4048"/>
    <w:rsid w:val="005E7A34"/>
    <w:rsid w:val="00603955"/>
    <w:rsid w:val="0061051D"/>
    <w:rsid w:val="00615DE2"/>
    <w:rsid w:val="006428D4"/>
    <w:rsid w:val="00651788"/>
    <w:rsid w:val="00667FDF"/>
    <w:rsid w:val="006739D4"/>
    <w:rsid w:val="00675555"/>
    <w:rsid w:val="00677A68"/>
    <w:rsid w:val="0068112F"/>
    <w:rsid w:val="00681663"/>
    <w:rsid w:val="006A03E7"/>
    <w:rsid w:val="006A4114"/>
    <w:rsid w:val="006A6EC4"/>
    <w:rsid w:val="006B59D0"/>
    <w:rsid w:val="006D2291"/>
    <w:rsid w:val="007050A9"/>
    <w:rsid w:val="007159DE"/>
    <w:rsid w:val="00717291"/>
    <w:rsid w:val="007200B4"/>
    <w:rsid w:val="0072296C"/>
    <w:rsid w:val="00724F69"/>
    <w:rsid w:val="00741460"/>
    <w:rsid w:val="007718B9"/>
    <w:rsid w:val="00787468"/>
    <w:rsid w:val="00790792"/>
    <w:rsid w:val="007972EE"/>
    <w:rsid w:val="007A3FF4"/>
    <w:rsid w:val="007B22A7"/>
    <w:rsid w:val="007D5AD7"/>
    <w:rsid w:val="007E7A68"/>
    <w:rsid w:val="007F610F"/>
    <w:rsid w:val="0080688A"/>
    <w:rsid w:val="008137F2"/>
    <w:rsid w:val="00836EFF"/>
    <w:rsid w:val="00843D3E"/>
    <w:rsid w:val="00847C1A"/>
    <w:rsid w:val="00852079"/>
    <w:rsid w:val="0085543D"/>
    <w:rsid w:val="008568D2"/>
    <w:rsid w:val="008608CD"/>
    <w:rsid w:val="008766A2"/>
    <w:rsid w:val="008901FC"/>
    <w:rsid w:val="008A324D"/>
    <w:rsid w:val="008A7F88"/>
    <w:rsid w:val="008B4692"/>
    <w:rsid w:val="008D71FF"/>
    <w:rsid w:val="00902B88"/>
    <w:rsid w:val="009135D8"/>
    <w:rsid w:val="00943FB0"/>
    <w:rsid w:val="009911C5"/>
    <w:rsid w:val="009B03F3"/>
    <w:rsid w:val="009F244F"/>
    <w:rsid w:val="00A20458"/>
    <w:rsid w:val="00A34621"/>
    <w:rsid w:val="00A35922"/>
    <w:rsid w:val="00A47A9E"/>
    <w:rsid w:val="00A825FC"/>
    <w:rsid w:val="00A831A1"/>
    <w:rsid w:val="00AA4AA6"/>
    <w:rsid w:val="00AD176A"/>
    <w:rsid w:val="00AD2F91"/>
    <w:rsid w:val="00AD5FC1"/>
    <w:rsid w:val="00AF75B8"/>
    <w:rsid w:val="00B04D59"/>
    <w:rsid w:val="00B23C64"/>
    <w:rsid w:val="00B259CF"/>
    <w:rsid w:val="00B268FE"/>
    <w:rsid w:val="00B47F9A"/>
    <w:rsid w:val="00B54968"/>
    <w:rsid w:val="00B85B9E"/>
    <w:rsid w:val="00BB503D"/>
    <w:rsid w:val="00C023F8"/>
    <w:rsid w:val="00C25101"/>
    <w:rsid w:val="00C30B5D"/>
    <w:rsid w:val="00C43E50"/>
    <w:rsid w:val="00C84DAE"/>
    <w:rsid w:val="00C9282E"/>
    <w:rsid w:val="00CA7838"/>
    <w:rsid w:val="00CB1AF0"/>
    <w:rsid w:val="00CB607F"/>
    <w:rsid w:val="00CE1EAF"/>
    <w:rsid w:val="00CE63FD"/>
    <w:rsid w:val="00D03241"/>
    <w:rsid w:val="00D42590"/>
    <w:rsid w:val="00D57AC4"/>
    <w:rsid w:val="00D6175A"/>
    <w:rsid w:val="00D76C92"/>
    <w:rsid w:val="00D80D77"/>
    <w:rsid w:val="00D8280B"/>
    <w:rsid w:val="00D87AE5"/>
    <w:rsid w:val="00DA7F55"/>
    <w:rsid w:val="00E00786"/>
    <w:rsid w:val="00E12078"/>
    <w:rsid w:val="00E12371"/>
    <w:rsid w:val="00E21DB4"/>
    <w:rsid w:val="00E8094A"/>
    <w:rsid w:val="00EA70D5"/>
    <w:rsid w:val="00EB6BEF"/>
    <w:rsid w:val="00ED4A1C"/>
    <w:rsid w:val="00EE1796"/>
    <w:rsid w:val="00EE5B3F"/>
    <w:rsid w:val="00EF294C"/>
    <w:rsid w:val="00F14207"/>
    <w:rsid w:val="00F21E0A"/>
    <w:rsid w:val="00F33D30"/>
    <w:rsid w:val="00F355DA"/>
    <w:rsid w:val="00F37BF6"/>
    <w:rsid w:val="00F4427C"/>
    <w:rsid w:val="00F53074"/>
    <w:rsid w:val="00F71230"/>
    <w:rsid w:val="00F97276"/>
    <w:rsid w:val="00FB06FF"/>
    <w:rsid w:val="00FB31BD"/>
    <w:rsid w:val="00FB48D1"/>
    <w:rsid w:val="00FD0F1A"/>
    <w:rsid w:val="00FD2230"/>
    <w:rsid w:val="00FD4F38"/>
    <w:rsid w:val="00FD6174"/>
    <w:rsid w:val="00FF3B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94C"/>
  </w:style>
  <w:style w:type="paragraph" w:styleId="Titolo8">
    <w:name w:val="heading 8"/>
    <w:basedOn w:val="Normale"/>
    <w:next w:val="Normale"/>
    <w:link w:val="Titolo8Carattere"/>
    <w:qFormat/>
    <w:rsid w:val="003E694C"/>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E694C"/>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iPriority w:val="99"/>
    <w:unhideWhenUsed/>
    <w:rsid w:val="003E694C"/>
    <w:rPr>
      <w:color w:val="0000FF" w:themeColor="hyperlink"/>
      <w:u w:val="single"/>
    </w:rPr>
  </w:style>
  <w:style w:type="character" w:customStyle="1" w:styleId="object">
    <w:name w:val="object"/>
    <w:basedOn w:val="Carpredefinitoparagrafo"/>
    <w:rsid w:val="003E694C"/>
  </w:style>
  <w:style w:type="paragraph" w:customStyle="1" w:styleId="Default">
    <w:name w:val="Default"/>
    <w:rsid w:val="003E694C"/>
    <w:pPr>
      <w:autoSpaceDE w:val="0"/>
      <w:autoSpaceDN w:val="0"/>
      <w:adjustRightInd w:val="0"/>
      <w:spacing w:after="0" w:line="240" w:lineRule="auto"/>
    </w:pPr>
    <w:rPr>
      <w:rFonts w:ascii="Calibri" w:hAnsi="Calibri" w:cs="Calibri"/>
      <w:color w:val="000000"/>
      <w:sz w:val="24"/>
      <w:szCs w:val="24"/>
    </w:rPr>
  </w:style>
  <w:style w:type="paragraph" w:styleId="Numeroelenco">
    <w:name w:val="List Number"/>
    <w:basedOn w:val="Normale"/>
    <w:uiPriority w:val="99"/>
    <w:rsid w:val="003E694C"/>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e"/>
    <w:uiPriority w:val="99"/>
    <w:rsid w:val="003E694C"/>
    <w:pPr>
      <w:numPr>
        <w:ilvl w:val="1"/>
        <w:numId w:val="2"/>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e"/>
    <w:uiPriority w:val="99"/>
    <w:rsid w:val="003E694C"/>
    <w:pPr>
      <w:numPr>
        <w:ilvl w:val="2"/>
        <w:numId w:val="2"/>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e"/>
    <w:uiPriority w:val="99"/>
    <w:rsid w:val="003E694C"/>
    <w:pPr>
      <w:numPr>
        <w:ilvl w:val="3"/>
        <w:numId w:val="2"/>
      </w:numPr>
      <w:spacing w:after="240" w:line="240" w:lineRule="auto"/>
      <w:jc w:val="both"/>
    </w:pPr>
    <w:rPr>
      <w:rFonts w:ascii="Times New Roman" w:eastAsia="Times New Roman" w:hAnsi="Times New Roman" w:cs="Times New Roman"/>
      <w:sz w:val="24"/>
      <w:szCs w:val="20"/>
      <w:lang w:val="en-GB"/>
    </w:rPr>
  </w:style>
  <w:style w:type="paragraph" w:styleId="Testofumetto">
    <w:name w:val="Balloon Text"/>
    <w:basedOn w:val="Normale"/>
    <w:link w:val="TestofumettoCarattere"/>
    <w:uiPriority w:val="99"/>
    <w:semiHidden/>
    <w:unhideWhenUsed/>
    <w:rsid w:val="003E69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94C"/>
    <w:rPr>
      <w:rFonts w:ascii="Tahoma" w:hAnsi="Tahoma" w:cs="Tahoma"/>
      <w:sz w:val="16"/>
      <w:szCs w:val="16"/>
    </w:rPr>
  </w:style>
  <w:style w:type="paragraph" w:styleId="Paragrafoelenco">
    <w:name w:val="List Paragraph"/>
    <w:basedOn w:val="Normale"/>
    <w:uiPriority w:val="34"/>
    <w:qFormat/>
    <w:rsid w:val="003E694C"/>
    <w:pPr>
      <w:ind w:left="720"/>
      <w:contextualSpacing/>
    </w:pPr>
  </w:style>
  <w:style w:type="character" w:customStyle="1" w:styleId="hps">
    <w:name w:val="hps"/>
    <w:basedOn w:val="Carpredefinitoparagrafo"/>
    <w:rsid w:val="003E694C"/>
  </w:style>
  <w:style w:type="table" w:styleId="Grigliatabella">
    <w:name w:val="Table Grid"/>
    <w:basedOn w:val="Tabellanormale"/>
    <w:rsid w:val="003E6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9">
    <w:name w:val="span9"/>
    <w:basedOn w:val="Carpredefinitoparagrafo"/>
    <w:rsid w:val="003E694C"/>
  </w:style>
  <w:style w:type="paragraph" w:styleId="Rientrocorpodeltesto2">
    <w:name w:val="Body Text Indent 2"/>
    <w:basedOn w:val="Normale"/>
    <w:link w:val="Rientrocorpodeltesto2Carattere"/>
    <w:uiPriority w:val="99"/>
    <w:unhideWhenUsed/>
    <w:rsid w:val="00342499"/>
    <w:pPr>
      <w:spacing w:after="120" w:line="480" w:lineRule="auto"/>
      <w:ind w:left="283"/>
    </w:pPr>
    <w:rPr>
      <w:rFonts w:ascii="Times New Roman" w:eastAsia="Times New Roman" w:hAnsi="Times New Roman" w:cs="Times New Roman"/>
      <w:sz w:val="24"/>
      <w:szCs w:val="24"/>
      <w:lang w:val="en-CA" w:eastAsia="en-CA"/>
    </w:rPr>
  </w:style>
  <w:style w:type="character" w:customStyle="1" w:styleId="Rientrocorpodeltesto2Carattere">
    <w:name w:val="Rientro corpo del testo 2 Carattere"/>
    <w:basedOn w:val="Carpredefinitoparagrafo"/>
    <w:link w:val="Rientrocorpodeltesto2"/>
    <w:uiPriority w:val="99"/>
    <w:rsid w:val="00342499"/>
    <w:rPr>
      <w:rFonts w:ascii="Times New Roman" w:eastAsia="Times New Roman" w:hAnsi="Times New Roman" w:cs="Times New Roman"/>
      <w:sz w:val="24"/>
      <w:szCs w:val="24"/>
      <w:lang w:val="en-CA" w:eastAsia="en-CA"/>
    </w:rPr>
  </w:style>
  <w:style w:type="paragraph" w:styleId="Testonotaapidipagina">
    <w:name w:val="footnote text"/>
    <w:basedOn w:val="Normale"/>
    <w:link w:val="TestonotaapidipaginaCarattere"/>
    <w:uiPriority w:val="99"/>
    <w:semiHidden/>
    <w:unhideWhenUsed/>
    <w:rsid w:val="00F37B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7BF6"/>
    <w:rPr>
      <w:sz w:val="20"/>
      <w:szCs w:val="20"/>
    </w:rPr>
  </w:style>
  <w:style w:type="character" w:styleId="Rimandonotaapidipagina">
    <w:name w:val="footnote reference"/>
    <w:basedOn w:val="Carpredefinitoparagrafo"/>
    <w:uiPriority w:val="99"/>
    <w:semiHidden/>
    <w:unhideWhenUsed/>
    <w:rsid w:val="00F37B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694C"/>
  </w:style>
  <w:style w:type="paragraph" w:styleId="Titolo8">
    <w:name w:val="heading 8"/>
    <w:basedOn w:val="Normale"/>
    <w:next w:val="Normale"/>
    <w:link w:val="Titolo8Carattere"/>
    <w:qFormat/>
    <w:rsid w:val="003E694C"/>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8Carattere">
    <w:name w:val="Titolo 8 Carattere"/>
    <w:basedOn w:val="Carpredefinitoparagrafo"/>
    <w:link w:val="Titolo8"/>
    <w:rsid w:val="003E694C"/>
    <w:rPr>
      <w:rFonts w:ascii="Times New Roman" w:eastAsia="Times New Roman" w:hAnsi="Times New Roman" w:cs="Times New Roman"/>
      <w:i/>
      <w:iCs/>
      <w:sz w:val="24"/>
      <w:szCs w:val="24"/>
      <w:lang w:eastAsia="it-IT"/>
    </w:rPr>
  </w:style>
  <w:style w:type="character" w:styleId="Collegamentoipertestuale">
    <w:name w:val="Hyperlink"/>
    <w:basedOn w:val="Carpredefinitoparagrafo"/>
    <w:uiPriority w:val="99"/>
    <w:unhideWhenUsed/>
    <w:rsid w:val="003E694C"/>
    <w:rPr>
      <w:color w:val="0000FF" w:themeColor="hyperlink"/>
      <w:u w:val="single"/>
    </w:rPr>
  </w:style>
  <w:style w:type="character" w:customStyle="1" w:styleId="object">
    <w:name w:val="object"/>
    <w:basedOn w:val="Carpredefinitoparagrafo"/>
    <w:rsid w:val="003E694C"/>
  </w:style>
  <w:style w:type="paragraph" w:customStyle="1" w:styleId="Default">
    <w:name w:val="Default"/>
    <w:rsid w:val="003E694C"/>
    <w:pPr>
      <w:autoSpaceDE w:val="0"/>
      <w:autoSpaceDN w:val="0"/>
      <w:adjustRightInd w:val="0"/>
      <w:spacing w:after="0" w:line="240" w:lineRule="auto"/>
    </w:pPr>
    <w:rPr>
      <w:rFonts w:ascii="Calibri" w:hAnsi="Calibri" w:cs="Calibri"/>
      <w:color w:val="000000"/>
      <w:sz w:val="24"/>
      <w:szCs w:val="24"/>
    </w:rPr>
  </w:style>
  <w:style w:type="paragraph" w:styleId="Numeroelenco">
    <w:name w:val="List Number"/>
    <w:basedOn w:val="Normale"/>
    <w:uiPriority w:val="99"/>
    <w:rsid w:val="003E694C"/>
    <w:pPr>
      <w:numPr>
        <w:numId w:val="2"/>
      </w:numPr>
      <w:spacing w:after="240" w:line="240" w:lineRule="auto"/>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e"/>
    <w:uiPriority w:val="99"/>
    <w:rsid w:val="003E694C"/>
    <w:pPr>
      <w:numPr>
        <w:ilvl w:val="1"/>
        <w:numId w:val="2"/>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e"/>
    <w:uiPriority w:val="99"/>
    <w:rsid w:val="003E694C"/>
    <w:pPr>
      <w:numPr>
        <w:ilvl w:val="2"/>
        <w:numId w:val="2"/>
      </w:numPr>
      <w:spacing w:after="240" w:line="240" w:lineRule="auto"/>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e"/>
    <w:uiPriority w:val="99"/>
    <w:rsid w:val="003E694C"/>
    <w:pPr>
      <w:numPr>
        <w:ilvl w:val="3"/>
        <w:numId w:val="2"/>
      </w:numPr>
      <w:spacing w:after="240" w:line="240" w:lineRule="auto"/>
      <w:jc w:val="both"/>
    </w:pPr>
    <w:rPr>
      <w:rFonts w:ascii="Times New Roman" w:eastAsia="Times New Roman" w:hAnsi="Times New Roman" w:cs="Times New Roman"/>
      <w:sz w:val="24"/>
      <w:szCs w:val="20"/>
      <w:lang w:val="en-GB"/>
    </w:rPr>
  </w:style>
  <w:style w:type="paragraph" w:styleId="Testofumetto">
    <w:name w:val="Balloon Text"/>
    <w:basedOn w:val="Normale"/>
    <w:link w:val="TestofumettoCarattere"/>
    <w:uiPriority w:val="99"/>
    <w:semiHidden/>
    <w:unhideWhenUsed/>
    <w:rsid w:val="003E694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E694C"/>
    <w:rPr>
      <w:rFonts w:ascii="Tahoma" w:hAnsi="Tahoma" w:cs="Tahoma"/>
      <w:sz w:val="16"/>
      <w:szCs w:val="16"/>
    </w:rPr>
  </w:style>
  <w:style w:type="paragraph" w:styleId="Paragrafoelenco">
    <w:name w:val="List Paragraph"/>
    <w:basedOn w:val="Normale"/>
    <w:uiPriority w:val="34"/>
    <w:qFormat/>
    <w:rsid w:val="003E694C"/>
    <w:pPr>
      <w:ind w:left="720"/>
      <w:contextualSpacing/>
    </w:pPr>
  </w:style>
  <w:style w:type="character" w:customStyle="1" w:styleId="hps">
    <w:name w:val="hps"/>
    <w:basedOn w:val="Carpredefinitoparagrafo"/>
    <w:rsid w:val="003E694C"/>
  </w:style>
  <w:style w:type="table" w:styleId="Grigliatabella">
    <w:name w:val="Table Grid"/>
    <w:basedOn w:val="Tabellanormale"/>
    <w:rsid w:val="003E6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9">
    <w:name w:val="span9"/>
    <w:basedOn w:val="Carpredefinitoparagrafo"/>
    <w:rsid w:val="003E694C"/>
  </w:style>
  <w:style w:type="paragraph" w:styleId="Rientrocorpodeltesto2">
    <w:name w:val="Body Text Indent 2"/>
    <w:basedOn w:val="Normale"/>
    <w:link w:val="Rientrocorpodeltesto2Carattere"/>
    <w:uiPriority w:val="99"/>
    <w:unhideWhenUsed/>
    <w:rsid w:val="00342499"/>
    <w:pPr>
      <w:spacing w:after="120" w:line="480" w:lineRule="auto"/>
      <w:ind w:left="283"/>
    </w:pPr>
    <w:rPr>
      <w:rFonts w:ascii="Times New Roman" w:eastAsia="Times New Roman" w:hAnsi="Times New Roman" w:cs="Times New Roman"/>
      <w:sz w:val="24"/>
      <w:szCs w:val="24"/>
      <w:lang w:val="en-CA" w:eastAsia="en-CA"/>
    </w:rPr>
  </w:style>
  <w:style w:type="character" w:customStyle="1" w:styleId="Rientrocorpodeltesto2Carattere">
    <w:name w:val="Rientro corpo del testo 2 Carattere"/>
    <w:basedOn w:val="Carpredefinitoparagrafo"/>
    <w:link w:val="Rientrocorpodeltesto2"/>
    <w:uiPriority w:val="99"/>
    <w:rsid w:val="00342499"/>
    <w:rPr>
      <w:rFonts w:ascii="Times New Roman" w:eastAsia="Times New Roman" w:hAnsi="Times New Roman" w:cs="Times New Roman"/>
      <w:sz w:val="24"/>
      <w:szCs w:val="24"/>
      <w:lang w:val="en-CA" w:eastAsia="en-CA"/>
    </w:rPr>
  </w:style>
  <w:style w:type="paragraph" w:styleId="Testonotaapidipagina">
    <w:name w:val="footnote text"/>
    <w:basedOn w:val="Normale"/>
    <w:link w:val="TestonotaapidipaginaCarattere"/>
    <w:uiPriority w:val="99"/>
    <w:semiHidden/>
    <w:unhideWhenUsed/>
    <w:rsid w:val="00F37BF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37BF6"/>
    <w:rPr>
      <w:sz w:val="20"/>
      <w:szCs w:val="20"/>
    </w:rPr>
  </w:style>
  <w:style w:type="character" w:styleId="Rimandonotaapidipagina">
    <w:name w:val="footnote reference"/>
    <w:basedOn w:val="Carpredefinitoparagrafo"/>
    <w:uiPriority w:val="99"/>
    <w:semiHidden/>
    <w:unhideWhenUsed/>
    <w:rsid w:val="00F37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01944">
      <w:bodyDiv w:val="1"/>
      <w:marLeft w:val="0"/>
      <w:marRight w:val="0"/>
      <w:marTop w:val="0"/>
      <w:marBottom w:val="0"/>
      <w:divBdr>
        <w:top w:val="none" w:sz="0" w:space="0" w:color="auto"/>
        <w:left w:val="none" w:sz="0" w:space="0" w:color="auto"/>
        <w:bottom w:val="none" w:sz="0" w:space="0" w:color="auto"/>
        <w:right w:val="none" w:sz="0" w:space="0" w:color="auto"/>
      </w:divBdr>
      <w:divsChild>
        <w:div w:id="967322136">
          <w:marLeft w:val="691"/>
          <w:marRight w:val="0"/>
          <w:marTop w:val="120"/>
          <w:marBottom w:val="96"/>
          <w:divBdr>
            <w:top w:val="none" w:sz="0" w:space="0" w:color="auto"/>
            <w:left w:val="none" w:sz="0" w:space="0" w:color="auto"/>
            <w:bottom w:val="none" w:sz="0" w:space="0" w:color="auto"/>
            <w:right w:val="none" w:sz="0" w:space="0" w:color="auto"/>
          </w:divBdr>
        </w:div>
        <w:div w:id="167134101">
          <w:marLeft w:val="1267"/>
          <w:marRight w:val="0"/>
          <w:marTop w:val="0"/>
          <w:marBottom w:val="86"/>
          <w:divBdr>
            <w:top w:val="none" w:sz="0" w:space="0" w:color="auto"/>
            <w:left w:val="none" w:sz="0" w:space="0" w:color="auto"/>
            <w:bottom w:val="none" w:sz="0" w:space="0" w:color="auto"/>
            <w:right w:val="none" w:sz="0" w:space="0" w:color="auto"/>
          </w:divBdr>
        </w:div>
        <w:div w:id="415976966">
          <w:marLeft w:val="1267"/>
          <w:marRight w:val="0"/>
          <w:marTop w:val="0"/>
          <w:marBottom w:val="86"/>
          <w:divBdr>
            <w:top w:val="none" w:sz="0" w:space="0" w:color="auto"/>
            <w:left w:val="none" w:sz="0" w:space="0" w:color="auto"/>
            <w:bottom w:val="none" w:sz="0" w:space="0" w:color="auto"/>
            <w:right w:val="none" w:sz="0" w:space="0" w:color="auto"/>
          </w:divBdr>
        </w:div>
        <w:div w:id="683216170">
          <w:marLeft w:val="1267"/>
          <w:marRight w:val="0"/>
          <w:marTop w:val="0"/>
          <w:marBottom w:val="86"/>
          <w:divBdr>
            <w:top w:val="none" w:sz="0" w:space="0" w:color="auto"/>
            <w:left w:val="none" w:sz="0" w:space="0" w:color="auto"/>
            <w:bottom w:val="none" w:sz="0" w:space="0" w:color="auto"/>
            <w:right w:val="none" w:sz="0" w:space="0" w:color="auto"/>
          </w:divBdr>
        </w:div>
        <w:div w:id="873730851">
          <w:marLeft w:val="1267"/>
          <w:marRight w:val="0"/>
          <w:marTop w:val="0"/>
          <w:marBottom w:val="86"/>
          <w:divBdr>
            <w:top w:val="none" w:sz="0" w:space="0" w:color="auto"/>
            <w:left w:val="none" w:sz="0" w:space="0" w:color="auto"/>
            <w:bottom w:val="none" w:sz="0" w:space="0" w:color="auto"/>
            <w:right w:val="none" w:sz="0" w:space="0" w:color="auto"/>
          </w:divBdr>
        </w:div>
        <w:div w:id="736368440">
          <w:marLeft w:val="691"/>
          <w:marRight w:val="0"/>
          <w:marTop w:val="120"/>
          <w:marBottom w:val="96"/>
          <w:divBdr>
            <w:top w:val="none" w:sz="0" w:space="0" w:color="auto"/>
            <w:left w:val="none" w:sz="0" w:space="0" w:color="auto"/>
            <w:bottom w:val="none" w:sz="0" w:space="0" w:color="auto"/>
            <w:right w:val="none" w:sz="0" w:space="0" w:color="auto"/>
          </w:divBdr>
        </w:div>
        <w:div w:id="420222139">
          <w:marLeft w:val="1267"/>
          <w:marRight w:val="0"/>
          <w:marTop w:val="0"/>
          <w:marBottom w:val="86"/>
          <w:divBdr>
            <w:top w:val="none" w:sz="0" w:space="0" w:color="auto"/>
            <w:left w:val="none" w:sz="0" w:space="0" w:color="auto"/>
            <w:bottom w:val="none" w:sz="0" w:space="0" w:color="auto"/>
            <w:right w:val="none" w:sz="0" w:space="0" w:color="auto"/>
          </w:divBdr>
        </w:div>
        <w:div w:id="943267918">
          <w:marLeft w:val="691"/>
          <w:marRight w:val="0"/>
          <w:marTop w:val="120"/>
          <w:marBottom w:val="96"/>
          <w:divBdr>
            <w:top w:val="none" w:sz="0" w:space="0" w:color="auto"/>
            <w:left w:val="none" w:sz="0" w:space="0" w:color="auto"/>
            <w:bottom w:val="none" w:sz="0" w:space="0" w:color="auto"/>
            <w:right w:val="none" w:sz="0" w:space="0" w:color="auto"/>
          </w:divBdr>
        </w:div>
        <w:div w:id="861092890">
          <w:marLeft w:val="1267"/>
          <w:marRight w:val="0"/>
          <w:marTop w:val="60"/>
          <w:marBottom w:val="0"/>
          <w:divBdr>
            <w:top w:val="none" w:sz="0" w:space="0" w:color="auto"/>
            <w:left w:val="none" w:sz="0" w:space="0" w:color="auto"/>
            <w:bottom w:val="none" w:sz="0" w:space="0" w:color="auto"/>
            <w:right w:val="none" w:sz="0" w:space="0" w:color="auto"/>
          </w:divBdr>
        </w:div>
        <w:div w:id="1009481344">
          <w:marLeft w:val="2002"/>
          <w:marRight w:val="0"/>
          <w:marTop w:val="0"/>
          <w:marBottom w:val="0"/>
          <w:divBdr>
            <w:top w:val="none" w:sz="0" w:space="0" w:color="auto"/>
            <w:left w:val="none" w:sz="0" w:space="0" w:color="auto"/>
            <w:bottom w:val="none" w:sz="0" w:space="0" w:color="auto"/>
            <w:right w:val="none" w:sz="0" w:space="0" w:color="auto"/>
          </w:divBdr>
        </w:div>
        <w:div w:id="576208226">
          <w:marLeft w:val="2002"/>
          <w:marRight w:val="0"/>
          <w:marTop w:val="0"/>
          <w:marBottom w:val="0"/>
          <w:divBdr>
            <w:top w:val="none" w:sz="0" w:space="0" w:color="auto"/>
            <w:left w:val="none" w:sz="0" w:space="0" w:color="auto"/>
            <w:bottom w:val="none" w:sz="0" w:space="0" w:color="auto"/>
            <w:right w:val="none" w:sz="0" w:space="0" w:color="auto"/>
          </w:divBdr>
        </w:div>
        <w:div w:id="1119373028">
          <w:marLeft w:val="1267"/>
          <w:marRight w:val="0"/>
          <w:marTop w:val="120"/>
          <w:marBottom w:val="86"/>
          <w:divBdr>
            <w:top w:val="none" w:sz="0" w:space="0" w:color="auto"/>
            <w:left w:val="none" w:sz="0" w:space="0" w:color="auto"/>
            <w:bottom w:val="none" w:sz="0" w:space="0" w:color="auto"/>
            <w:right w:val="none" w:sz="0" w:space="0" w:color="auto"/>
          </w:divBdr>
        </w:div>
      </w:divsChild>
    </w:div>
    <w:div w:id="139265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2.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4.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image" Target="media/image15.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D7F4E-0F35-4A77-A6BA-980310A9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15</Pages>
  <Words>5296</Words>
  <Characters>30193</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ISTAT Istituto Nazionale di Statistica ROMA</Company>
  <LinksUpToDate>false</LinksUpToDate>
  <CharactersWithSpaces>35419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 OL. Luzi</dc:creator>
  <cp:lastModifiedBy>Utente</cp:lastModifiedBy>
  <cp:revision>29</cp:revision>
  <cp:lastPrinted>2014-05-22T10:50:00Z</cp:lastPrinted>
  <dcterms:created xsi:type="dcterms:W3CDTF">2014-05-22T07:04:00Z</dcterms:created>
  <dcterms:modified xsi:type="dcterms:W3CDTF">2014-05-22T16:12:00Z</dcterms:modified>
</cp:coreProperties>
</file>