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D9" w:rsidRDefault="00B238D9" w:rsidP="00934227">
      <w:pPr>
        <w:jc w:val="center"/>
        <w:rPr>
          <w:b/>
          <w:iCs/>
          <w:sz w:val="48"/>
          <w:szCs w:val="48"/>
          <w:lang w:val="en-GB"/>
        </w:rPr>
      </w:pPr>
      <w:r w:rsidRPr="00B238D9">
        <w:rPr>
          <w:b/>
          <w:iCs/>
          <w:sz w:val="48"/>
          <w:szCs w:val="48"/>
          <w:lang w:val="en-GB"/>
        </w:rPr>
        <w:t xml:space="preserve">More and better – Improvement of official statistics through the Swedish </w:t>
      </w:r>
      <w:proofErr w:type="spellStart"/>
      <w:r w:rsidRPr="00B238D9">
        <w:rPr>
          <w:b/>
          <w:iCs/>
          <w:sz w:val="48"/>
          <w:szCs w:val="48"/>
          <w:lang w:val="en-GB"/>
        </w:rPr>
        <w:t>Geodata</w:t>
      </w:r>
      <w:proofErr w:type="spellEnd"/>
      <w:r w:rsidRPr="00B238D9">
        <w:rPr>
          <w:b/>
          <w:iCs/>
          <w:sz w:val="48"/>
          <w:szCs w:val="48"/>
          <w:lang w:val="en-GB"/>
        </w:rPr>
        <w:t xml:space="preserve"> Cooperation</w:t>
      </w:r>
    </w:p>
    <w:p w:rsidR="00AC1F03" w:rsidRPr="00AC1F03" w:rsidRDefault="00B238D9" w:rsidP="00AC1F03">
      <w:pPr>
        <w:jc w:val="center"/>
        <w:rPr>
          <w:lang w:val="en-GB"/>
        </w:rPr>
      </w:pPr>
      <w:r>
        <w:rPr>
          <w:lang w:val="en-GB"/>
        </w:rPr>
        <w:t>Jerker</w:t>
      </w:r>
      <w:r w:rsidR="00AC1F03" w:rsidRPr="00AC1F03">
        <w:rPr>
          <w:lang w:val="en-GB"/>
        </w:rPr>
        <w:t xml:space="preserve"> </w:t>
      </w:r>
      <w:r>
        <w:rPr>
          <w:lang w:val="en-GB"/>
        </w:rPr>
        <w:t>MOSTRÖM</w:t>
      </w:r>
    </w:p>
    <w:p w:rsidR="00AC1F03" w:rsidRPr="00AC1F03" w:rsidRDefault="000A72DF" w:rsidP="00AC1F03">
      <w:pPr>
        <w:jc w:val="center"/>
        <w:rPr>
          <w:lang w:val="en-GB"/>
        </w:rPr>
      </w:pPr>
      <w:r>
        <w:rPr>
          <w:lang w:val="en-GB"/>
        </w:rPr>
        <w:t>Senior Advisor</w:t>
      </w:r>
      <w:r w:rsidR="00AC1F03">
        <w:rPr>
          <w:lang w:val="en-GB"/>
        </w:rPr>
        <w:t xml:space="preserve">, </w:t>
      </w:r>
      <w:r w:rsidR="00EC1491">
        <w:rPr>
          <w:lang w:val="en-GB"/>
        </w:rPr>
        <w:t xml:space="preserve">Regions and Environment Department, </w:t>
      </w:r>
      <w:r w:rsidR="00AC1F03" w:rsidRPr="00AC1F03">
        <w:rPr>
          <w:lang w:val="en-GB"/>
        </w:rPr>
        <w:t>Statistics Sweden</w:t>
      </w:r>
    </w:p>
    <w:p w:rsidR="00AC1F03" w:rsidRPr="00AC1F03" w:rsidRDefault="00AC1F03" w:rsidP="00AC1F03">
      <w:pPr>
        <w:rPr>
          <w:lang w:val="en-GB"/>
        </w:rPr>
      </w:pPr>
    </w:p>
    <w:p w:rsidR="00B238D9" w:rsidRPr="00B238D9" w:rsidRDefault="00B238D9" w:rsidP="00B238D9">
      <w:pPr>
        <w:ind w:left="1134" w:right="992"/>
        <w:jc w:val="both"/>
        <w:rPr>
          <w:rFonts w:eastAsia="Arial Unicode MS"/>
          <w:sz w:val="20"/>
          <w:lang w:val="en-GB"/>
        </w:rPr>
      </w:pPr>
      <w:r w:rsidRPr="00B238D9">
        <w:rPr>
          <w:rFonts w:eastAsia="Arial Unicode MS"/>
          <w:sz w:val="20"/>
          <w:lang w:val="en-GB"/>
        </w:rPr>
        <w:t xml:space="preserve">Since 2011 Statistics Sweden has been member of the Swedish </w:t>
      </w:r>
      <w:proofErr w:type="spellStart"/>
      <w:r w:rsidRPr="00B238D9">
        <w:rPr>
          <w:rFonts w:eastAsia="Arial Unicode MS"/>
          <w:sz w:val="20"/>
          <w:lang w:val="en-GB"/>
        </w:rPr>
        <w:t>Geodata</w:t>
      </w:r>
      <w:proofErr w:type="spellEnd"/>
      <w:r w:rsidRPr="00B238D9">
        <w:rPr>
          <w:rFonts w:eastAsia="Arial Unicode MS"/>
          <w:sz w:val="20"/>
          <w:lang w:val="en-GB"/>
        </w:rPr>
        <w:t xml:space="preserve"> Cooperation, an initiative aiming to create a Swedish infrastructure for </w:t>
      </w:r>
      <w:proofErr w:type="spellStart"/>
      <w:r w:rsidRPr="00B238D9">
        <w:rPr>
          <w:rFonts w:eastAsia="Arial Unicode MS"/>
          <w:sz w:val="20"/>
          <w:lang w:val="en-GB"/>
        </w:rPr>
        <w:t>geodata</w:t>
      </w:r>
      <w:proofErr w:type="spellEnd"/>
      <w:r w:rsidRPr="00B238D9">
        <w:rPr>
          <w:rFonts w:eastAsia="Arial Unicode MS"/>
          <w:sz w:val="20"/>
          <w:lang w:val="en-GB"/>
        </w:rPr>
        <w:t xml:space="preserve"> and increase access to, and use of </w:t>
      </w:r>
      <w:proofErr w:type="spellStart"/>
      <w:r w:rsidRPr="00B238D9">
        <w:rPr>
          <w:rFonts w:eastAsia="Arial Unicode MS"/>
          <w:sz w:val="20"/>
          <w:lang w:val="en-GB"/>
        </w:rPr>
        <w:t>geodata</w:t>
      </w:r>
      <w:proofErr w:type="spellEnd"/>
      <w:r w:rsidRPr="00B238D9">
        <w:rPr>
          <w:rFonts w:eastAsia="Arial Unicode MS"/>
          <w:sz w:val="20"/>
          <w:lang w:val="en-GB"/>
        </w:rPr>
        <w:t xml:space="preserve"> within the domain of government agencies and other public bodies in Sweden. The </w:t>
      </w:r>
      <w:proofErr w:type="spellStart"/>
      <w:r w:rsidRPr="00B238D9">
        <w:rPr>
          <w:rFonts w:eastAsia="Arial Unicode MS"/>
          <w:sz w:val="20"/>
          <w:lang w:val="en-GB"/>
        </w:rPr>
        <w:t>Geodata</w:t>
      </w:r>
      <w:proofErr w:type="spellEnd"/>
      <w:r w:rsidRPr="00B238D9">
        <w:rPr>
          <w:rFonts w:eastAsia="Arial Unicode MS"/>
          <w:sz w:val="20"/>
          <w:lang w:val="en-GB"/>
        </w:rPr>
        <w:t xml:space="preserve"> Cooperation was launched as a response to the INSPIRE directive in Sweden. For Statistics Sweden the </w:t>
      </w:r>
      <w:proofErr w:type="spellStart"/>
      <w:r w:rsidRPr="00B238D9">
        <w:rPr>
          <w:rFonts w:eastAsia="Arial Unicode MS"/>
          <w:sz w:val="20"/>
          <w:lang w:val="en-GB"/>
        </w:rPr>
        <w:t>Geodata</w:t>
      </w:r>
      <w:proofErr w:type="spellEnd"/>
      <w:r w:rsidRPr="00B238D9">
        <w:rPr>
          <w:rFonts w:eastAsia="Arial Unicode MS"/>
          <w:sz w:val="20"/>
          <w:lang w:val="en-GB"/>
        </w:rPr>
        <w:t xml:space="preserve"> Cooperation has encompassed a paradigmatic shift of the production of land use statistics, and other geospatial statistics, due to the widely extended access to </w:t>
      </w:r>
      <w:proofErr w:type="spellStart"/>
      <w:r w:rsidRPr="00B238D9">
        <w:rPr>
          <w:rFonts w:eastAsia="Arial Unicode MS"/>
          <w:sz w:val="20"/>
          <w:lang w:val="en-GB"/>
        </w:rPr>
        <w:t>geodata</w:t>
      </w:r>
      <w:proofErr w:type="spellEnd"/>
      <w:r w:rsidRPr="00B238D9">
        <w:rPr>
          <w:rFonts w:eastAsia="Arial Unicode MS"/>
          <w:sz w:val="20"/>
          <w:lang w:val="en-GB"/>
        </w:rPr>
        <w:t xml:space="preserve">. Through a set of practical examples, this paper aims to demonstrate how increased access to </w:t>
      </w:r>
      <w:proofErr w:type="spellStart"/>
      <w:r w:rsidRPr="00B238D9">
        <w:rPr>
          <w:rFonts w:eastAsia="Arial Unicode MS"/>
          <w:sz w:val="20"/>
          <w:lang w:val="en-GB"/>
        </w:rPr>
        <w:t>geodata</w:t>
      </w:r>
      <w:proofErr w:type="spellEnd"/>
      <w:r w:rsidRPr="00B238D9">
        <w:rPr>
          <w:rFonts w:eastAsia="Arial Unicode MS"/>
          <w:sz w:val="20"/>
          <w:lang w:val="en-GB"/>
        </w:rPr>
        <w:t xml:space="preserve"> can improve </w:t>
      </w:r>
      <w:r w:rsidR="00934227">
        <w:rPr>
          <w:rFonts w:eastAsia="Arial Unicode MS"/>
          <w:sz w:val="20"/>
          <w:lang w:val="en-GB"/>
        </w:rPr>
        <w:t xml:space="preserve">the </w:t>
      </w:r>
      <w:r w:rsidRPr="00B238D9">
        <w:rPr>
          <w:rFonts w:eastAsia="Arial Unicode MS"/>
          <w:sz w:val="20"/>
          <w:lang w:val="en-GB"/>
        </w:rPr>
        <w:t xml:space="preserve">quality of official statistics but also generate new statistical applications, through the extended opportunities to combine register data with </w:t>
      </w:r>
      <w:proofErr w:type="spellStart"/>
      <w:r w:rsidRPr="00B238D9">
        <w:rPr>
          <w:rFonts w:eastAsia="Arial Unicode MS"/>
          <w:sz w:val="20"/>
          <w:lang w:val="en-GB"/>
        </w:rPr>
        <w:t>geodata</w:t>
      </w:r>
      <w:proofErr w:type="spellEnd"/>
      <w:r w:rsidRPr="00B238D9">
        <w:rPr>
          <w:rFonts w:eastAsia="Arial Unicode MS"/>
          <w:sz w:val="20"/>
          <w:lang w:val="en-GB"/>
        </w:rPr>
        <w:t>.</w:t>
      </w:r>
    </w:p>
    <w:p w:rsidR="00B238D9" w:rsidRPr="00AC1F03" w:rsidRDefault="00B238D9" w:rsidP="002B441D">
      <w:pPr>
        <w:ind w:left="1134" w:right="992"/>
        <w:jc w:val="both"/>
        <w:rPr>
          <w:rFonts w:eastAsia="Arial Unicode MS"/>
          <w:sz w:val="20"/>
          <w:lang w:val="en-GB"/>
        </w:rPr>
      </w:pPr>
    </w:p>
    <w:p w:rsidR="00AC1F03" w:rsidRPr="00AC1F03" w:rsidRDefault="00AC1F03" w:rsidP="00AC1F03">
      <w:pPr>
        <w:ind w:left="1134"/>
        <w:rPr>
          <w:rFonts w:eastAsia="Arial Unicode MS"/>
          <w:lang w:val="en-GB"/>
        </w:rPr>
      </w:pPr>
    </w:p>
    <w:p w:rsidR="00AC1F03" w:rsidRPr="007373D3" w:rsidRDefault="007373D3" w:rsidP="007373D3">
      <w:pPr>
        <w:keepNext/>
        <w:keepLines/>
        <w:spacing w:before="120" w:after="180"/>
        <w:jc w:val="both"/>
        <w:outlineLvl w:val="1"/>
        <w:rPr>
          <w:rFonts w:eastAsia="Arial Unicode MS"/>
          <w:b/>
          <w:lang w:val="en-GB"/>
        </w:rPr>
      </w:pPr>
      <w:r>
        <w:rPr>
          <w:rFonts w:eastAsia="Arial Unicode MS"/>
          <w:b/>
          <w:lang w:val="en-GB"/>
        </w:rPr>
        <w:t xml:space="preserve">1 </w:t>
      </w:r>
      <w:r w:rsidR="00B238D9" w:rsidRPr="007373D3">
        <w:rPr>
          <w:rFonts w:eastAsia="Arial Unicode MS"/>
          <w:b/>
          <w:lang w:val="en-GB"/>
        </w:rPr>
        <w:t xml:space="preserve">The Swedish </w:t>
      </w:r>
      <w:proofErr w:type="spellStart"/>
      <w:r w:rsidR="00B238D9" w:rsidRPr="007373D3">
        <w:rPr>
          <w:rFonts w:eastAsia="Arial Unicode MS"/>
          <w:b/>
          <w:lang w:val="en-GB"/>
        </w:rPr>
        <w:t>Geodata</w:t>
      </w:r>
      <w:proofErr w:type="spellEnd"/>
      <w:r w:rsidR="00B238D9" w:rsidRPr="007373D3">
        <w:rPr>
          <w:rFonts w:eastAsia="Arial Unicode MS"/>
          <w:b/>
          <w:lang w:val="en-GB"/>
        </w:rPr>
        <w:t xml:space="preserve"> Cooperation</w:t>
      </w:r>
    </w:p>
    <w:p w:rsidR="00B238D9" w:rsidRPr="00B238D9" w:rsidRDefault="00B238D9" w:rsidP="00B238D9">
      <w:pPr>
        <w:jc w:val="both"/>
        <w:rPr>
          <w:lang w:val="en-GB"/>
        </w:rPr>
      </w:pPr>
      <w:r w:rsidRPr="00B238D9">
        <w:rPr>
          <w:lang w:val="en-GB"/>
        </w:rPr>
        <w:t xml:space="preserve">While INSPIRE will put the European Spatial Data Infrastructure in place, the Swedish </w:t>
      </w:r>
      <w:r w:rsidR="00F11207">
        <w:rPr>
          <w:lang w:val="en-GB"/>
        </w:rPr>
        <w:t xml:space="preserve">spatial data </w:t>
      </w:r>
      <w:proofErr w:type="gramStart"/>
      <w:r w:rsidR="00F11207">
        <w:rPr>
          <w:lang w:val="en-GB"/>
        </w:rPr>
        <w:t>infrastructure  (</w:t>
      </w:r>
      <w:proofErr w:type="gramEnd"/>
      <w:r w:rsidRPr="00B238D9">
        <w:rPr>
          <w:lang w:val="en-GB"/>
        </w:rPr>
        <w:t>SDI</w:t>
      </w:r>
      <w:r w:rsidR="00F11207">
        <w:rPr>
          <w:lang w:val="en-GB"/>
        </w:rPr>
        <w:t>)</w:t>
      </w:r>
      <w:r w:rsidRPr="00B238D9">
        <w:rPr>
          <w:lang w:val="en-GB"/>
        </w:rPr>
        <w:t xml:space="preserve"> concept has been gradually developed since 1970’s. Today the Swedish SDI is based on a number of important corner-stones, such as the National </w:t>
      </w:r>
      <w:proofErr w:type="spellStart"/>
      <w:r w:rsidRPr="00B238D9">
        <w:rPr>
          <w:lang w:val="en-GB"/>
        </w:rPr>
        <w:t>Geodata</w:t>
      </w:r>
      <w:proofErr w:type="spellEnd"/>
      <w:r w:rsidRPr="00B238D9">
        <w:rPr>
          <w:lang w:val="en-GB"/>
        </w:rPr>
        <w:t xml:space="preserve"> Strategy, the </w:t>
      </w:r>
      <w:proofErr w:type="spellStart"/>
      <w:r w:rsidRPr="00B238D9">
        <w:rPr>
          <w:lang w:val="en-GB"/>
        </w:rPr>
        <w:t>Geodata</w:t>
      </w:r>
      <w:proofErr w:type="spellEnd"/>
      <w:r w:rsidRPr="00B238D9">
        <w:rPr>
          <w:lang w:val="en-GB"/>
        </w:rPr>
        <w:t xml:space="preserve"> Cooperation, the standardisation work and the technical solution with a national </w:t>
      </w:r>
      <w:proofErr w:type="spellStart"/>
      <w:r w:rsidRPr="00B238D9">
        <w:rPr>
          <w:lang w:val="en-GB"/>
        </w:rPr>
        <w:t>Geodata</w:t>
      </w:r>
      <w:proofErr w:type="spellEnd"/>
      <w:r w:rsidRPr="00B238D9">
        <w:rPr>
          <w:lang w:val="en-GB"/>
        </w:rPr>
        <w:t xml:space="preserve"> portal and the links to t</w:t>
      </w:r>
      <w:r w:rsidR="00F11207">
        <w:rPr>
          <w:lang w:val="en-GB"/>
        </w:rPr>
        <w:t xml:space="preserve">he European INSPIRE </w:t>
      </w:r>
      <w:proofErr w:type="spellStart"/>
      <w:r w:rsidR="00F11207">
        <w:rPr>
          <w:lang w:val="en-GB"/>
        </w:rPr>
        <w:t>Geoportal</w:t>
      </w:r>
      <w:proofErr w:type="spellEnd"/>
      <w:r w:rsidR="00F11207">
        <w:rPr>
          <w:lang w:val="en-GB"/>
        </w:rPr>
        <w:t xml:space="preserve"> [1</w:t>
      </w:r>
      <w:r w:rsidRPr="00B238D9">
        <w:rPr>
          <w:lang w:val="en-GB"/>
        </w:rPr>
        <w:t xml:space="preserve">]. </w:t>
      </w:r>
    </w:p>
    <w:p w:rsidR="00B238D9" w:rsidRDefault="00B238D9" w:rsidP="00B238D9">
      <w:pPr>
        <w:jc w:val="both"/>
        <w:rPr>
          <w:lang w:val="en-GB"/>
        </w:rPr>
      </w:pPr>
    </w:p>
    <w:p w:rsidR="00B238D9" w:rsidRPr="00B238D9" w:rsidRDefault="00B238D9" w:rsidP="00B238D9">
      <w:pPr>
        <w:jc w:val="both"/>
        <w:rPr>
          <w:lang w:val="en-GB"/>
        </w:rPr>
      </w:pPr>
      <w:r w:rsidRPr="00B238D9">
        <w:rPr>
          <w:lang w:val="en-GB"/>
        </w:rPr>
        <w:t xml:space="preserve">The Swedish </w:t>
      </w:r>
      <w:proofErr w:type="spellStart"/>
      <w:r w:rsidRPr="00B238D9">
        <w:rPr>
          <w:lang w:val="en-GB"/>
        </w:rPr>
        <w:t>Geodata</w:t>
      </w:r>
      <w:proofErr w:type="spellEnd"/>
      <w:r w:rsidRPr="00B238D9">
        <w:rPr>
          <w:lang w:val="en-GB"/>
        </w:rPr>
        <w:t xml:space="preserve"> Cooperation Agreement is the national foundation for a sustainable cooperation within the </w:t>
      </w:r>
      <w:r w:rsidR="00F11207">
        <w:rPr>
          <w:lang w:val="en-GB"/>
        </w:rPr>
        <w:t>SDI.</w:t>
      </w:r>
      <w:r w:rsidRPr="00B238D9">
        <w:rPr>
          <w:lang w:val="en-GB"/>
        </w:rPr>
        <w:t xml:space="preserve"> The cooperation was launched in 2011 in order to fulfil the obligations of the INSPIRE directive, yet it goes beyond the aspirations of INSPIRE as it reaches further than the scope of environmental information. As of today, the </w:t>
      </w:r>
      <w:proofErr w:type="spellStart"/>
      <w:r w:rsidRPr="00B238D9">
        <w:rPr>
          <w:lang w:val="en-GB"/>
        </w:rPr>
        <w:t>Geodata</w:t>
      </w:r>
      <w:proofErr w:type="spellEnd"/>
      <w:r w:rsidRPr="00B238D9">
        <w:rPr>
          <w:lang w:val="en-GB"/>
        </w:rPr>
        <w:t xml:space="preserve"> Cooperation offers a pool of data exceeding 400 </w:t>
      </w:r>
      <w:proofErr w:type="spellStart"/>
      <w:r w:rsidRPr="00B238D9">
        <w:rPr>
          <w:lang w:val="en-GB"/>
        </w:rPr>
        <w:lastRenderedPageBreak/>
        <w:t>geodata</w:t>
      </w:r>
      <w:proofErr w:type="spellEnd"/>
      <w:r w:rsidRPr="00B238D9">
        <w:rPr>
          <w:lang w:val="en-GB"/>
        </w:rPr>
        <w:t xml:space="preserve"> products from 19 different providers. The very basic concept of the cooperation is that parties sign </w:t>
      </w:r>
      <w:r w:rsidRPr="00B238D9">
        <w:rPr>
          <w:i/>
          <w:lang w:val="en-GB"/>
        </w:rPr>
        <w:t>one</w:t>
      </w:r>
      <w:r w:rsidR="00C91EC1">
        <w:rPr>
          <w:lang w:val="en-GB"/>
        </w:rPr>
        <w:t xml:space="preserve"> agreement and </w:t>
      </w:r>
      <w:r w:rsidRPr="00B238D9">
        <w:rPr>
          <w:lang w:val="en-GB"/>
        </w:rPr>
        <w:t xml:space="preserve">pay </w:t>
      </w:r>
      <w:r w:rsidRPr="00B238D9">
        <w:rPr>
          <w:i/>
          <w:lang w:val="en-GB"/>
        </w:rPr>
        <w:t>one</w:t>
      </w:r>
      <w:r w:rsidRPr="00B238D9">
        <w:rPr>
          <w:lang w:val="en-GB"/>
        </w:rPr>
        <w:t xml:space="preserve"> annual fee but get access to </w:t>
      </w:r>
      <w:proofErr w:type="spellStart"/>
      <w:r w:rsidRPr="00B238D9">
        <w:rPr>
          <w:lang w:val="en-GB"/>
        </w:rPr>
        <w:t>geodata</w:t>
      </w:r>
      <w:proofErr w:type="spellEnd"/>
      <w:r w:rsidRPr="00B238D9">
        <w:rPr>
          <w:lang w:val="en-GB"/>
        </w:rPr>
        <w:t xml:space="preserve"> products from all data providers. This concept stands in sharp contrast to the situation before 2011, where data acquisition entailed complex business models and expensive agreements. </w:t>
      </w:r>
    </w:p>
    <w:p w:rsidR="00B238D9" w:rsidRDefault="00B238D9" w:rsidP="00B238D9">
      <w:pPr>
        <w:jc w:val="both"/>
        <w:rPr>
          <w:lang w:val="en-GB"/>
        </w:rPr>
      </w:pPr>
    </w:p>
    <w:p w:rsidR="00B238D9" w:rsidRPr="00B238D9" w:rsidRDefault="00B238D9" w:rsidP="00B238D9">
      <w:pPr>
        <w:jc w:val="both"/>
        <w:rPr>
          <w:lang w:val="en-GB"/>
        </w:rPr>
      </w:pPr>
      <w:r w:rsidRPr="00B238D9">
        <w:rPr>
          <w:lang w:val="en-GB"/>
        </w:rPr>
        <w:t xml:space="preserve">The cooperation is managed by the National Mapping and Cadastre Authority (NMCA), </w:t>
      </w:r>
      <w:proofErr w:type="spellStart"/>
      <w:r w:rsidRPr="00B238D9">
        <w:rPr>
          <w:lang w:val="en-GB"/>
        </w:rPr>
        <w:t>Lantmäteriet</w:t>
      </w:r>
      <w:proofErr w:type="spellEnd"/>
      <w:r w:rsidRPr="00B238D9">
        <w:rPr>
          <w:lang w:val="en-GB"/>
        </w:rPr>
        <w:t>. Parties to the coo</w:t>
      </w:r>
      <w:r w:rsidR="00934227">
        <w:rPr>
          <w:lang w:val="en-GB"/>
        </w:rPr>
        <w:t>peration are authorities with a</w:t>
      </w:r>
      <w:r w:rsidRPr="00B238D9">
        <w:rPr>
          <w:lang w:val="en-GB"/>
        </w:rPr>
        <w:t xml:space="preserve"> </w:t>
      </w:r>
      <w:r w:rsidR="00934227">
        <w:rPr>
          <w:lang w:val="en-GB"/>
        </w:rPr>
        <w:t>data management</w:t>
      </w:r>
      <w:r w:rsidRPr="00B238D9">
        <w:rPr>
          <w:lang w:val="en-GB"/>
        </w:rPr>
        <w:t xml:space="preserve"> responsibility according to the Swedish Act and Ordinance on Spatial Information, based on the INSPIRE directive, and municipalities, gover</w:t>
      </w:r>
      <w:r w:rsidR="00912705">
        <w:rPr>
          <w:lang w:val="en-GB"/>
        </w:rPr>
        <w:t>nment agencies and other organis</w:t>
      </w:r>
      <w:r w:rsidR="007A2C7E">
        <w:rPr>
          <w:lang w:val="en-GB"/>
        </w:rPr>
        <w:t>ations with official duties [2</w:t>
      </w:r>
      <w:r w:rsidRPr="00B238D9">
        <w:rPr>
          <w:lang w:val="en-GB"/>
        </w:rPr>
        <w:t xml:space="preserve">]. </w:t>
      </w:r>
    </w:p>
    <w:p w:rsidR="00B238D9" w:rsidRDefault="00B238D9" w:rsidP="00B238D9">
      <w:pPr>
        <w:jc w:val="both"/>
        <w:rPr>
          <w:lang w:val="en-GB"/>
        </w:rPr>
      </w:pPr>
    </w:p>
    <w:p w:rsidR="00B238D9" w:rsidRPr="00B238D9" w:rsidRDefault="00B238D9" w:rsidP="00B238D9">
      <w:pPr>
        <w:jc w:val="both"/>
        <w:rPr>
          <w:lang w:val="en-GB"/>
        </w:rPr>
      </w:pPr>
      <w:r w:rsidRPr="00B238D9">
        <w:rPr>
          <w:lang w:val="en-GB"/>
        </w:rPr>
        <w:t xml:space="preserve">The </w:t>
      </w:r>
      <w:proofErr w:type="spellStart"/>
      <w:r w:rsidRPr="00B238D9">
        <w:rPr>
          <w:lang w:val="en-GB"/>
        </w:rPr>
        <w:t>Geodata</w:t>
      </w:r>
      <w:proofErr w:type="spellEnd"/>
      <w:r w:rsidRPr="00B238D9">
        <w:rPr>
          <w:lang w:val="en-GB"/>
        </w:rPr>
        <w:t xml:space="preserve"> Cooperation Agreement includes how to handle organisation, steering, coordination and responsibilities as well as technical prerequisites, forms of supply and terms of use of spatial data. The parties in the </w:t>
      </w:r>
      <w:proofErr w:type="spellStart"/>
      <w:r w:rsidRPr="00B238D9">
        <w:rPr>
          <w:lang w:val="en-GB"/>
        </w:rPr>
        <w:t>Geodata</w:t>
      </w:r>
      <w:proofErr w:type="spellEnd"/>
      <w:r w:rsidRPr="00B238D9">
        <w:rPr>
          <w:lang w:val="en-GB"/>
        </w:rPr>
        <w:t xml:space="preserve"> Cooperation offer each other their spatial data for official use to an annual fee. Available </w:t>
      </w:r>
      <w:proofErr w:type="spellStart"/>
      <w:r w:rsidRPr="00B238D9">
        <w:rPr>
          <w:lang w:val="en-GB"/>
        </w:rPr>
        <w:t>geodata</w:t>
      </w:r>
      <w:proofErr w:type="spellEnd"/>
      <w:r w:rsidRPr="00B238D9">
        <w:rPr>
          <w:lang w:val="en-GB"/>
        </w:rPr>
        <w:t xml:space="preserve"> are presented and described in a Product Catalogue. Municipalities, government agencies and other public organisations which conduct official duties can also join the </w:t>
      </w:r>
      <w:proofErr w:type="spellStart"/>
      <w:r w:rsidRPr="00B238D9">
        <w:rPr>
          <w:lang w:val="en-GB"/>
        </w:rPr>
        <w:t>Geodata</w:t>
      </w:r>
      <w:proofErr w:type="spellEnd"/>
      <w:r w:rsidRPr="00B238D9">
        <w:rPr>
          <w:lang w:val="en-GB"/>
        </w:rPr>
        <w:t xml:space="preserve"> Cooperation, and thereby get access to all </w:t>
      </w:r>
      <w:proofErr w:type="spellStart"/>
      <w:r w:rsidRPr="00B238D9">
        <w:rPr>
          <w:lang w:val="en-GB"/>
        </w:rPr>
        <w:t>geodata</w:t>
      </w:r>
      <w:proofErr w:type="spellEnd"/>
      <w:r w:rsidRPr="00B238D9">
        <w:rPr>
          <w:lang w:val="en-GB"/>
        </w:rPr>
        <w:t xml:space="preserve"> in the Product Catalogue, for official use. </w:t>
      </w:r>
    </w:p>
    <w:p w:rsidR="00B238D9" w:rsidRPr="00B238D9" w:rsidRDefault="00B238D9" w:rsidP="00B238D9">
      <w:pPr>
        <w:jc w:val="both"/>
        <w:rPr>
          <w:lang w:val="en-GB"/>
        </w:rPr>
      </w:pPr>
    </w:p>
    <w:p w:rsidR="00B238D9" w:rsidRPr="00B238D9" w:rsidRDefault="00B238D9" w:rsidP="00B238D9">
      <w:pPr>
        <w:jc w:val="both"/>
        <w:rPr>
          <w:lang w:val="en-GB"/>
        </w:rPr>
      </w:pPr>
      <w:r w:rsidRPr="00B238D9">
        <w:rPr>
          <w:lang w:val="en-GB"/>
        </w:rPr>
        <w:t xml:space="preserve">The contents of the Product Catalogue will change over time, with the aim to include as much spatial information as possible from all authorities in the cooperation. The INSPIRE regulation gives a minimum requirement, but in order to fulfil also the goals in the National </w:t>
      </w:r>
      <w:proofErr w:type="spellStart"/>
      <w:r w:rsidRPr="00B238D9">
        <w:rPr>
          <w:lang w:val="en-GB"/>
        </w:rPr>
        <w:t>Geodata</w:t>
      </w:r>
      <w:proofErr w:type="spellEnd"/>
      <w:r w:rsidRPr="00B238D9">
        <w:rPr>
          <w:lang w:val="en-GB"/>
        </w:rPr>
        <w:t xml:space="preserve"> Strategy, the cooperation has a broader scope: by making </w:t>
      </w:r>
      <w:r w:rsidR="00DF670A" w:rsidRPr="00B238D9">
        <w:rPr>
          <w:lang w:val="en-GB"/>
        </w:rPr>
        <w:t xml:space="preserve">available </w:t>
      </w:r>
      <w:r w:rsidRPr="00B238D9">
        <w:rPr>
          <w:lang w:val="en-GB"/>
        </w:rPr>
        <w:t xml:space="preserve">as much spatial information as possible the benefits from sharing information will increase within the public sector. </w:t>
      </w:r>
    </w:p>
    <w:p w:rsidR="00B238D9" w:rsidRPr="00B238D9" w:rsidRDefault="00B238D9" w:rsidP="00B238D9">
      <w:pPr>
        <w:jc w:val="both"/>
        <w:rPr>
          <w:lang w:val="en-GB"/>
        </w:rPr>
      </w:pPr>
    </w:p>
    <w:p w:rsidR="00AC1F03" w:rsidRDefault="00B238D9" w:rsidP="00B238D9">
      <w:pPr>
        <w:jc w:val="both"/>
        <w:rPr>
          <w:lang w:val="en-GB"/>
        </w:rPr>
      </w:pPr>
      <w:r w:rsidRPr="00B238D9">
        <w:rPr>
          <w:lang w:val="en-GB"/>
        </w:rPr>
        <w:t xml:space="preserve">Until recently, universities and research institutions </w:t>
      </w:r>
      <w:r w:rsidR="002A0D63">
        <w:rPr>
          <w:lang w:val="en-GB"/>
        </w:rPr>
        <w:t xml:space="preserve">did </w:t>
      </w:r>
      <w:r w:rsidR="00056F00">
        <w:rPr>
          <w:lang w:val="en-GB"/>
        </w:rPr>
        <w:t>not take part in</w:t>
      </w:r>
      <w:r w:rsidR="00912705">
        <w:rPr>
          <w:lang w:val="en-GB"/>
        </w:rPr>
        <w:t xml:space="preserve"> the</w:t>
      </w:r>
      <w:r w:rsidRPr="00B238D9">
        <w:rPr>
          <w:lang w:val="en-GB"/>
        </w:rPr>
        <w:t xml:space="preserve"> </w:t>
      </w:r>
      <w:r w:rsidR="002379C3">
        <w:rPr>
          <w:lang w:val="en-GB"/>
        </w:rPr>
        <w:t>data sharing</w:t>
      </w:r>
      <w:r w:rsidR="00557ADD">
        <w:rPr>
          <w:lang w:val="en-GB"/>
        </w:rPr>
        <w:t xml:space="preserve">. But in May 2014 </w:t>
      </w:r>
      <w:r w:rsidRPr="00B238D9">
        <w:rPr>
          <w:lang w:val="en-GB"/>
        </w:rPr>
        <w:t xml:space="preserve">a special agreement </w:t>
      </w:r>
      <w:r w:rsidR="00912705">
        <w:rPr>
          <w:lang w:val="en-GB"/>
        </w:rPr>
        <w:t>was</w:t>
      </w:r>
      <w:r w:rsidRPr="00B238D9">
        <w:rPr>
          <w:lang w:val="en-GB"/>
        </w:rPr>
        <w:t xml:space="preserve"> signed, </w:t>
      </w:r>
      <w:r w:rsidR="006D4F58">
        <w:rPr>
          <w:lang w:val="en-GB"/>
        </w:rPr>
        <w:t xml:space="preserve">giving </w:t>
      </w:r>
      <w:r w:rsidR="006D4F58" w:rsidRPr="00B238D9">
        <w:rPr>
          <w:lang w:val="en-GB"/>
        </w:rPr>
        <w:t>the research community</w:t>
      </w:r>
      <w:r w:rsidR="006D4F58">
        <w:rPr>
          <w:lang w:val="en-GB"/>
        </w:rPr>
        <w:t xml:space="preserve"> access to </w:t>
      </w:r>
      <w:r w:rsidR="00767A88">
        <w:rPr>
          <w:lang w:val="en-GB"/>
        </w:rPr>
        <w:t xml:space="preserve">a substantial part of </w:t>
      </w:r>
      <w:r w:rsidR="006D4F58">
        <w:rPr>
          <w:lang w:val="en-GB"/>
        </w:rPr>
        <w:t xml:space="preserve">the </w:t>
      </w:r>
      <w:r w:rsidR="002379C3">
        <w:rPr>
          <w:lang w:val="en-GB"/>
        </w:rPr>
        <w:t>data p</w:t>
      </w:r>
      <w:r w:rsidR="00120D29">
        <w:rPr>
          <w:lang w:val="en-GB"/>
        </w:rPr>
        <w:t xml:space="preserve">ool of the </w:t>
      </w:r>
      <w:proofErr w:type="spellStart"/>
      <w:r w:rsidR="00120D29">
        <w:rPr>
          <w:lang w:val="en-GB"/>
        </w:rPr>
        <w:t>Geodata</w:t>
      </w:r>
      <w:proofErr w:type="spellEnd"/>
      <w:r w:rsidR="00120D29">
        <w:rPr>
          <w:lang w:val="en-GB"/>
        </w:rPr>
        <w:t xml:space="preserve"> Cooperation.</w:t>
      </w:r>
    </w:p>
    <w:p w:rsidR="00AC1F03" w:rsidRPr="00AC1F03" w:rsidRDefault="00AC1F03" w:rsidP="003040D6">
      <w:pPr>
        <w:jc w:val="both"/>
        <w:rPr>
          <w:lang w:val="en-GB"/>
        </w:rPr>
      </w:pPr>
    </w:p>
    <w:p w:rsidR="00AC1F03" w:rsidRPr="00AC1F03" w:rsidRDefault="007373D3" w:rsidP="003040D6">
      <w:pPr>
        <w:keepNext/>
        <w:keepLines/>
        <w:spacing w:before="120" w:after="180"/>
        <w:jc w:val="both"/>
        <w:outlineLvl w:val="1"/>
        <w:rPr>
          <w:rFonts w:eastAsia="Arial Unicode MS"/>
          <w:b/>
          <w:lang w:val="en-GB"/>
        </w:rPr>
      </w:pPr>
      <w:r>
        <w:rPr>
          <w:rFonts w:eastAsia="Arial Unicode MS"/>
          <w:b/>
          <w:lang w:val="en-GB"/>
        </w:rPr>
        <w:lastRenderedPageBreak/>
        <w:t xml:space="preserve">2 </w:t>
      </w:r>
      <w:r w:rsidR="00B238D9">
        <w:rPr>
          <w:rFonts w:eastAsia="Arial Unicode MS"/>
          <w:b/>
          <w:lang w:val="en-GB"/>
        </w:rPr>
        <w:t xml:space="preserve">General benefits of the </w:t>
      </w:r>
      <w:proofErr w:type="spellStart"/>
      <w:r w:rsidR="00B238D9">
        <w:rPr>
          <w:rFonts w:eastAsia="Arial Unicode MS"/>
          <w:b/>
          <w:lang w:val="en-GB"/>
        </w:rPr>
        <w:t>Geodata</w:t>
      </w:r>
      <w:proofErr w:type="spellEnd"/>
      <w:r w:rsidR="00B238D9">
        <w:rPr>
          <w:rFonts w:eastAsia="Arial Unicode MS"/>
          <w:b/>
          <w:lang w:val="en-GB"/>
        </w:rPr>
        <w:t xml:space="preserve"> Cooperation</w:t>
      </w:r>
    </w:p>
    <w:p w:rsidR="00B238D9" w:rsidRPr="00B238D9" w:rsidRDefault="00B238D9" w:rsidP="00B238D9">
      <w:pPr>
        <w:jc w:val="both"/>
        <w:rPr>
          <w:rFonts w:eastAsia="Arial Unicode MS"/>
          <w:lang w:val="en-GB"/>
        </w:rPr>
      </w:pPr>
      <w:r w:rsidRPr="00B238D9">
        <w:rPr>
          <w:rFonts w:eastAsia="Arial Unicode MS"/>
          <w:lang w:val="en-GB"/>
        </w:rPr>
        <w:t xml:space="preserve">In general terms, data sharing is a cost-effective way </w:t>
      </w:r>
      <w:r w:rsidR="00DF670A">
        <w:rPr>
          <w:rFonts w:eastAsia="Arial Unicode MS"/>
          <w:lang w:val="en-GB"/>
        </w:rPr>
        <w:t xml:space="preserve">of enabling </w:t>
      </w:r>
      <w:r w:rsidRPr="00B238D9">
        <w:rPr>
          <w:rFonts w:eastAsia="Arial Unicode MS"/>
          <w:lang w:val="en-GB"/>
        </w:rPr>
        <w:t xml:space="preserve">the entire public sector </w:t>
      </w:r>
      <w:r w:rsidR="00DF670A">
        <w:rPr>
          <w:rFonts w:eastAsia="Arial Unicode MS"/>
          <w:lang w:val="en-GB"/>
        </w:rPr>
        <w:t>the</w:t>
      </w:r>
      <w:r w:rsidRPr="00B238D9">
        <w:rPr>
          <w:rFonts w:eastAsia="Arial Unicode MS"/>
          <w:lang w:val="en-GB"/>
        </w:rPr>
        <w:t xml:space="preserve"> use of high quality </w:t>
      </w:r>
      <w:r w:rsidR="00DF670A">
        <w:rPr>
          <w:rFonts w:eastAsia="Arial Unicode MS"/>
          <w:lang w:val="en-GB"/>
        </w:rPr>
        <w:t xml:space="preserve">data </w:t>
      </w:r>
      <w:r w:rsidRPr="00B238D9">
        <w:rPr>
          <w:rFonts w:eastAsia="Arial Unicode MS"/>
          <w:lang w:val="en-GB"/>
        </w:rPr>
        <w:t>for a wide variety of tasks. By making spatial data available as services on the web</w:t>
      </w:r>
      <w:r w:rsidR="0005124E">
        <w:rPr>
          <w:rFonts w:eastAsia="Arial Unicode MS"/>
          <w:lang w:val="en-GB"/>
        </w:rPr>
        <w:t>,</w:t>
      </w:r>
      <w:r w:rsidRPr="00B238D9">
        <w:rPr>
          <w:rFonts w:eastAsia="Arial Unicode MS"/>
          <w:lang w:val="en-GB"/>
        </w:rPr>
        <w:t xml:space="preserve"> it is also easier for the private sector to benefit from this infrastructure, as it gives easier access with known conditions and licenses. </w:t>
      </w:r>
    </w:p>
    <w:p w:rsidR="00B238D9" w:rsidRPr="00B238D9" w:rsidRDefault="00B238D9" w:rsidP="00B238D9">
      <w:pPr>
        <w:jc w:val="both"/>
        <w:rPr>
          <w:rFonts w:eastAsia="Arial Unicode MS"/>
          <w:lang w:val="en-GB"/>
        </w:rPr>
      </w:pPr>
    </w:p>
    <w:p w:rsidR="00B238D9" w:rsidRPr="00B238D9" w:rsidRDefault="00B238D9" w:rsidP="00B238D9">
      <w:pPr>
        <w:jc w:val="both"/>
        <w:rPr>
          <w:rFonts w:eastAsia="Arial Unicode MS"/>
          <w:lang w:val="en-US"/>
        </w:rPr>
      </w:pPr>
      <w:r w:rsidRPr="00B238D9">
        <w:rPr>
          <w:rFonts w:eastAsia="Arial Unicode MS"/>
          <w:lang w:val="en-GB"/>
        </w:rPr>
        <w:t xml:space="preserve">One of the most obvious results of the cooperation is reduced administration regarding licensing and data acquisition. The </w:t>
      </w:r>
      <w:r w:rsidR="0005124E">
        <w:rPr>
          <w:rFonts w:eastAsia="Arial Unicode MS"/>
          <w:lang w:val="en-GB"/>
        </w:rPr>
        <w:t xml:space="preserve">simple and straight forward </w:t>
      </w:r>
      <w:r w:rsidRPr="00B238D9">
        <w:rPr>
          <w:rFonts w:eastAsia="Arial Unicode MS"/>
          <w:lang w:val="en-GB"/>
        </w:rPr>
        <w:t xml:space="preserve">business model makes it easy to budget future (next years) costs for Spatial Information. The situation before the </w:t>
      </w:r>
      <w:proofErr w:type="spellStart"/>
      <w:r w:rsidRPr="00B238D9">
        <w:rPr>
          <w:rFonts w:eastAsia="Arial Unicode MS"/>
          <w:lang w:val="en-GB"/>
        </w:rPr>
        <w:t>Geodata</w:t>
      </w:r>
      <w:proofErr w:type="spellEnd"/>
      <w:r w:rsidRPr="00B238D9">
        <w:rPr>
          <w:rFonts w:eastAsia="Arial Unicode MS"/>
          <w:lang w:val="en-GB"/>
        </w:rPr>
        <w:t xml:space="preserve"> Cooperation suffered from multiple agreements between data providers and users and complex terms of use obstructing flexible use of data and creation of services. </w:t>
      </w:r>
    </w:p>
    <w:p w:rsidR="00AC1F03" w:rsidRPr="00AC1F03" w:rsidRDefault="00AC1F03" w:rsidP="003040D6">
      <w:pPr>
        <w:jc w:val="both"/>
        <w:rPr>
          <w:rFonts w:eastAsia="Arial Unicode MS"/>
          <w:lang w:val="en-GB"/>
        </w:rPr>
      </w:pPr>
    </w:p>
    <w:p w:rsidR="00AC1F03" w:rsidRPr="00AC1F03" w:rsidRDefault="007373D3" w:rsidP="003040D6">
      <w:pPr>
        <w:keepNext/>
        <w:keepLines/>
        <w:spacing w:before="120" w:after="180"/>
        <w:jc w:val="both"/>
        <w:outlineLvl w:val="1"/>
        <w:rPr>
          <w:rFonts w:eastAsia="Arial Unicode MS"/>
          <w:b/>
          <w:lang w:val="en-GB"/>
        </w:rPr>
      </w:pPr>
      <w:r>
        <w:rPr>
          <w:rFonts w:eastAsia="Arial Unicode MS"/>
          <w:b/>
          <w:lang w:val="en-GB"/>
        </w:rPr>
        <w:t xml:space="preserve">3 </w:t>
      </w:r>
      <w:proofErr w:type="spellStart"/>
      <w:r w:rsidR="00B238D9">
        <w:rPr>
          <w:rFonts w:eastAsia="Arial Unicode MS"/>
          <w:b/>
          <w:lang w:val="en-GB"/>
        </w:rPr>
        <w:t>Geodata</w:t>
      </w:r>
      <w:proofErr w:type="spellEnd"/>
      <w:r w:rsidR="00B238D9">
        <w:rPr>
          <w:rFonts w:eastAsia="Arial Unicode MS"/>
          <w:b/>
          <w:lang w:val="en-GB"/>
        </w:rPr>
        <w:t xml:space="preserve"> and geospatial applications at Statistics Sweden</w:t>
      </w:r>
    </w:p>
    <w:p w:rsidR="00B238D9" w:rsidRPr="00B238D9" w:rsidRDefault="00B238D9" w:rsidP="00B238D9">
      <w:pPr>
        <w:jc w:val="both"/>
        <w:rPr>
          <w:lang w:val="en-GB"/>
        </w:rPr>
      </w:pPr>
      <w:r w:rsidRPr="00B238D9">
        <w:rPr>
          <w:lang w:val="en-GB"/>
        </w:rPr>
        <w:t xml:space="preserve">Statistics Sweden has a longstanding tradition of geographical applications in the production of official statistics. The first steps towards usage of </w:t>
      </w:r>
      <w:proofErr w:type="spellStart"/>
      <w:r w:rsidRPr="00B238D9">
        <w:rPr>
          <w:lang w:val="en-GB"/>
        </w:rPr>
        <w:t>georeferenced</w:t>
      </w:r>
      <w:proofErr w:type="spellEnd"/>
      <w:r w:rsidRPr="00B238D9">
        <w:rPr>
          <w:lang w:val="en-GB"/>
        </w:rPr>
        <w:t xml:space="preserve"> information as a regular component of </w:t>
      </w:r>
      <w:r w:rsidR="007A2C7E">
        <w:rPr>
          <w:lang w:val="en-GB"/>
        </w:rPr>
        <w:t xml:space="preserve">the </w:t>
      </w:r>
      <w:r w:rsidRPr="00B238D9">
        <w:rPr>
          <w:lang w:val="en-GB"/>
        </w:rPr>
        <w:t xml:space="preserve">statistics </w:t>
      </w:r>
      <w:r w:rsidR="00CC2FFB">
        <w:rPr>
          <w:lang w:val="en-GB"/>
        </w:rPr>
        <w:t xml:space="preserve">portfolio </w:t>
      </w:r>
      <w:r w:rsidRPr="00B238D9">
        <w:rPr>
          <w:lang w:val="en-GB"/>
        </w:rPr>
        <w:t xml:space="preserve">were taken already in 1980s. In late 1980s, real property coordinates together with data from the population register were used to produce the first machine generated population grid of Sweden. Today, GIS and geospatial </w:t>
      </w:r>
      <w:proofErr w:type="gramStart"/>
      <w:r w:rsidRPr="00B238D9">
        <w:rPr>
          <w:lang w:val="en-GB"/>
        </w:rPr>
        <w:t>information,</w:t>
      </w:r>
      <w:proofErr w:type="gramEnd"/>
      <w:r w:rsidRPr="00B238D9">
        <w:rPr>
          <w:lang w:val="en-GB"/>
        </w:rPr>
        <w:t xml:space="preserve"> are integral parts of the production chain in many statistical products, especially in the field of land use statistics.  </w:t>
      </w:r>
    </w:p>
    <w:p w:rsidR="00B238D9" w:rsidRPr="00B238D9" w:rsidRDefault="00B238D9" w:rsidP="00B238D9">
      <w:pPr>
        <w:jc w:val="both"/>
        <w:rPr>
          <w:lang w:val="en-US"/>
        </w:rPr>
      </w:pPr>
    </w:p>
    <w:p w:rsidR="00B238D9" w:rsidRPr="00B238D9" w:rsidRDefault="00B238D9" w:rsidP="00B238D9">
      <w:pPr>
        <w:jc w:val="both"/>
        <w:rPr>
          <w:lang w:val="en-US"/>
        </w:rPr>
      </w:pPr>
      <w:r w:rsidRPr="00B238D9">
        <w:rPr>
          <w:lang w:val="en-US"/>
        </w:rPr>
        <w:t>The use of geospatial information within Statistics Sweden can be broadly divided into two different categories depending on the purpose of the usage and the properties of the end-use product.</w:t>
      </w:r>
    </w:p>
    <w:p w:rsidR="00B238D9" w:rsidRPr="00B238D9" w:rsidRDefault="00B238D9" w:rsidP="00B238D9">
      <w:pPr>
        <w:jc w:val="both"/>
        <w:rPr>
          <w:lang w:val="en-US"/>
        </w:rPr>
      </w:pPr>
    </w:p>
    <w:p w:rsidR="00B238D9" w:rsidRPr="00B238D9" w:rsidRDefault="00B238D9" w:rsidP="00B238D9">
      <w:pPr>
        <w:numPr>
          <w:ilvl w:val="0"/>
          <w:numId w:val="3"/>
        </w:numPr>
        <w:jc w:val="both"/>
        <w:rPr>
          <w:lang w:val="en-US"/>
        </w:rPr>
      </w:pPr>
      <w:r w:rsidRPr="00B238D9">
        <w:rPr>
          <w:lang w:val="en-US"/>
        </w:rPr>
        <w:t>Production of geospatial statistics, such as gridded statistics or other small area statistics, where the geospatial statistics itself is released as the end-use product or at least forms an essential part of the result. This category also includes delimitation of localities etc. In general, geospatial statistics is not part of the official statistics in Sweden. Consequently, this category does not encompass official statistics.</w:t>
      </w:r>
    </w:p>
    <w:p w:rsidR="00B238D9" w:rsidRPr="00B238D9" w:rsidRDefault="00B238D9" w:rsidP="00B238D9">
      <w:pPr>
        <w:jc w:val="both"/>
        <w:rPr>
          <w:lang w:val="en-US"/>
        </w:rPr>
      </w:pPr>
    </w:p>
    <w:p w:rsidR="00B238D9" w:rsidRPr="00B238D9" w:rsidRDefault="00B238D9" w:rsidP="00B238D9">
      <w:pPr>
        <w:numPr>
          <w:ilvl w:val="0"/>
          <w:numId w:val="3"/>
        </w:numPr>
        <w:jc w:val="both"/>
        <w:rPr>
          <w:lang w:val="en-US"/>
        </w:rPr>
      </w:pPr>
      <w:r w:rsidRPr="00B238D9">
        <w:rPr>
          <w:lang w:val="en-US"/>
        </w:rPr>
        <w:lastRenderedPageBreak/>
        <w:t xml:space="preserve">Production of official statistics where geospatial information and/or geospatial processing is involved at some stage of the production chain but not essentially part of the disseminated result. Stages of production may concern design of surveys, sampling, data collection, processing, analysis and dissemination. </w:t>
      </w:r>
    </w:p>
    <w:p w:rsidR="00B238D9" w:rsidRPr="00B238D9" w:rsidRDefault="00B238D9" w:rsidP="00B238D9">
      <w:pPr>
        <w:jc w:val="both"/>
        <w:rPr>
          <w:lang w:val="en-US"/>
        </w:rPr>
      </w:pPr>
    </w:p>
    <w:p w:rsidR="00B238D9" w:rsidRPr="00B238D9" w:rsidRDefault="00B238D9" w:rsidP="00B238D9">
      <w:pPr>
        <w:jc w:val="both"/>
        <w:rPr>
          <w:lang w:val="en-US"/>
        </w:rPr>
      </w:pPr>
      <w:r w:rsidRPr="00B238D9">
        <w:rPr>
          <w:lang w:val="en-US"/>
        </w:rPr>
        <w:t>In a broad sense, most statistical products retrieved from administrative records have a geospatial component as many of the</w:t>
      </w:r>
      <w:r w:rsidR="00DF670A">
        <w:rPr>
          <w:lang w:val="en-US"/>
        </w:rPr>
        <w:t>m</w:t>
      </w:r>
      <w:r w:rsidRPr="00B238D9">
        <w:rPr>
          <w:lang w:val="en-US"/>
        </w:rPr>
        <w:t xml:space="preserve"> rest upon an underlying framework of </w:t>
      </w:r>
      <w:proofErr w:type="spellStart"/>
      <w:r w:rsidRPr="00B238D9">
        <w:rPr>
          <w:lang w:val="en-US"/>
        </w:rPr>
        <w:t>georeferenced</w:t>
      </w:r>
      <w:proofErr w:type="spellEnd"/>
      <w:r w:rsidRPr="00B238D9">
        <w:rPr>
          <w:lang w:val="en-US"/>
        </w:rPr>
        <w:t xml:space="preserve"> </w:t>
      </w:r>
      <w:r w:rsidR="00B71FF7">
        <w:rPr>
          <w:lang w:val="en-US"/>
        </w:rPr>
        <w:t>records</w:t>
      </w:r>
      <w:r w:rsidRPr="00B238D9">
        <w:rPr>
          <w:lang w:val="en-US"/>
        </w:rPr>
        <w:t xml:space="preserve">. However, in terms of production setting, such as data sources used, tools, methods for data processing and analysis, the most “geography intense” field of statistics is land use statistics. Accordingly, the impact of the </w:t>
      </w:r>
      <w:proofErr w:type="spellStart"/>
      <w:r w:rsidRPr="00B238D9">
        <w:rPr>
          <w:lang w:val="en-US"/>
        </w:rPr>
        <w:t>Geodata</w:t>
      </w:r>
      <w:proofErr w:type="spellEnd"/>
      <w:r w:rsidRPr="00B238D9">
        <w:rPr>
          <w:lang w:val="en-US"/>
        </w:rPr>
        <w:t xml:space="preserve"> Cooperation has been most significant in the production of land use statistics. </w:t>
      </w:r>
    </w:p>
    <w:p w:rsidR="00B238D9" w:rsidRPr="00B238D9" w:rsidRDefault="00B238D9" w:rsidP="00B238D9">
      <w:pPr>
        <w:jc w:val="both"/>
        <w:rPr>
          <w:lang w:val="en-US"/>
        </w:rPr>
      </w:pPr>
    </w:p>
    <w:p w:rsidR="00B238D9" w:rsidRPr="00B238D9" w:rsidRDefault="00B238D9" w:rsidP="00B238D9">
      <w:pPr>
        <w:jc w:val="both"/>
        <w:rPr>
          <w:lang w:val="en-US"/>
        </w:rPr>
      </w:pPr>
      <w:r w:rsidRPr="00B238D9">
        <w:rPr>
          <w:lang w:val="en-US"/>
        </w:rPr>
        <w:t xml:space="preserve">As of today, Statistics Sweden is responsible for some twenty official products concerning use of land and water, comprising statistics on land use, land cover, land ownership, protected nature, urban green areas, coastal settlement and development, urban development </w:t>
      </w:r>
      <w:proofErr w:type="spellStart"/>
      <w:r w:rsidRPr="00B238D9">
        <w:rPr>
          <w:lang w:val="en-US"/>
        </w:rPr>
        <w:t>etc</w:t>
      </w:r>
      <w:proofErr w:type="spellEnd"/>
      <w:r w:rsidR="007A2C7E">
        <w:rPr>
          <w:lang w:val="en-US"/>
        </w:rPr>
        <w:t xml:space="preserve"> [3]</w:t>
      </w:r>
      <w:r w:rsidRPr="00B238D9">
        <w:rPr>
          <w:lang w:val="en-US"/>
        </w:rPr>
        <w:t xml:space="preserve">. In all of them, external </w:t>
      </w:r>
      <w:proofErr w:type="spellStart"/>
      <w:r w:rsidRPr="00B238D9">
        <w:rPr>
          <w:lang w:val="en-US"/>
        </w:rPr>
        <w:t>geodata</w:t>
      </w:r>
      <w:proofErr w:type="spellEnd"/>
      <w:r w:rsidRPr="00B238D9">
        <w:rPr>
          <w:lang w:val="en-US"/>
        </w:rPr>
        <w:t xml:space="preserve"> and geospatial processing plays a key role. For Statistics Sweden the </w:t>
      </w:r>
      <w:proofErr w:type="spellStart"/>
      <w:r w:rsidRPr="00B238D9">
        <w:rPr>
          <w:lang w:val="en-US"/>
        </w:rPr>
        <w:t>Geodata</w:t>
      </w:r>
      <w:proofErr w:type="spellEnd"/>
      <w:r w:rsidRPr="00B238D9">
        <w:rPr>
          <w:lang w:val="en-US"/>
        </w:rPr>
        <w:t xml:space="preserve"> Cooperation has encompassed a paradigmatic shift of the production of land use statistics due to the widely extended access to </w:t>
      </w:r>
      <w:proofErr w:type="spellStart"/>
      <w:r w:rsidRPr="00B238D9">
        <w:rPr>
          <w:lang w:val="en-US"/>
        </w:rPr>
        <w:t>geodata</w:t>
      </w:r>
      <w:proofErr w:type="spellEnd"/>
      <w:r w:rsidRPr="00B238D9">
        <w:rPr>
          <w:lang w:val="en-US"/>
        </w:rPr>
        <w:t xml:space="preserve">. Below, a few practical cases on quality improvement in current production as well </w:t>
      </w:r>
      <w:r w:rsidR="00DF670A">
        <w:rPr>
          <w:lang w:val="en-US"/>
        </w:rPr>
        <w:t xml:space="preserve">as </w:t>
      </w:r>
      <w:r w:rsidRPr="00B238D9">
        <w:rPr>
          <w:lang w:val="en-US"/>
        </w:rPr>
        <w:t>emergence of new statistical application will be described in brief.</w:t>
      </w:r>
    </w:p>
    <w:p w:rsidR="00B238D9" w:rsidRDefault="00B238D9" w:rsidP="00E142F4">
      <w:pPr>
        <w:jc w:val="both"/>
        <w:rPr>
          <w:rFonts w:eastAsia="Arial Unicode MS"/>
          <w:b/>
          <w:lang w:val="en-GB"/>
        </w:rPr>
      </w:pPr>
    </w:p>
    <w:p w:rsidR="00AC1F03" w:rsidRPr="00AC1F03" w:rsidRDefault="007373D3" w:rsidP="003040D6">
      <w:pPr>
        <w:keepNext/>
        <w:keepLines/>
        <w:spacing w:before="120" w:after="180"/>
        <w:jc w:val="both"/>
        <w:outlineLvl w:val="1"/>
        <w:rPr>
          <w:rFonts w:eastAsia="Arial Unicode MS"/>
          <w:b/>
          <w:lang w:val="en-GB"/>
        </w:rPr>
      </w:pPr>
      <w:r>
        <w:rPr>
          <w:rFonts w:eastAsia="Arial Unicode MS"/>
          <w:b/>
          <w:lang w:val="en-GB"/>
        </w:rPr>
        <w:t xml:space="preserve">4 </w:t>
      </w:r>
      <w:r w:rsidR="00B238D9">
        <w:rPr>
          <w:rFonts w:eastAsia="Arial Unicode MS"/>
          <w:b/>
          <w:lang w:val="en-GB"/>
        </w:rPr>
        <w:t>More and better</w:t>
      </w:r>
    </w:p>
    <w:p w:rsidR="00B238D9" w:rsidRPr="00B238D9" w:rsidRDefault="00B238D9" w:rsidP="00B238D9">
      <w:pPr>
        <w:jc w:val="both"/>
        <w:rPr>
          <w:rFonts w:eastAsia="Arial Unicode MS"/>
          <w:lang w:val="en-GB"/>
        </w:rPr>
      </w:pPr>
      <w:r w:rsidRPr="00B238D9">
        <w:rPr>
          <w:rFonts w:eastAsia="Arial Unicode MS"/>
          <w:lang w:val="en-GB"/>
        </w:rPr>
        <w:t xml:space="preserve">The production scheme of </w:t>
      </w:r>
      <w:r w:rsidR="00B71FF7">
        <w:rPr>
          <w:rFonts w:eastAsia="Arial Unicode MS"/>
          <w:lang w:val="en-GB"/>
        </w:rPr>
        <w:t>virtually</w:t>
      </w:r>
      <w:r w:rsidRPr="00B238D9">
        <w:rPr>
          <w:rFonts w:eastAsia="Arial Unicode MS"/>
          <w:lang w:val="en-GB"/>
        </w:rPr>
        <w:t xml:space="preserve"> all official products in the </w:t>
      </w:r>
      <w:r w:rsidR="00DF670A">
        <w:rPr>
          <w:rFonts w:eastAsia="Arial Unicode MS"/>
          <w:lang w:val="en-GB"/>
        </w:rPr>
        <w:t>field</w:t>
      </w:r>
      <w:r w:rsidRPr="00B238D9">
        <w:rPr>
          <w:rFonts w:eastAsia="Arial Unicode MS"/>
          <w:lang w:val="en-GB"/>
        </w:rPr>
        <w:t xml:space="preserve"> of land use statistics has changed since 2011 due to the new and richer data situation. One of the single most significant </w:t>
      </w:r>
      <w:r w:rsidR="00D40BFB">
        <w:rPr>
          <w:rFonts w:eastAsia="Arial Unicode MS"/>
          <w:lang w:val="en-GB"/>
        </w:rPr>
        <w:t>elements of change</w:t>
      </w:r>
      <w:r w:rsidRPr="00B238D9">
        <w:rPr>
          <w:rFonts w:eastAsia="Arial Unicode MS"/>
          <w:lang w:val="en-GB"/>
        </w:rPr>
        <w:t xml:space="preserve"> </w:t>
      </w:r>
      <w:r w:rsidR="00D40BFB">
        <w:rPr>
          <w:rFonts w:eastAsia="Arial Unicode MS"/>
          <w:lang w:val="en-GB"/>
        </w:rPr>
        <w:t>encompasses</w:t>
      </w:r>
      <w:r w:rsidRPr="00B238D9">
        <w:rPr>
          <w:rFonts w:eastAsia="Arial Unicode MS"/>
          <w:lang w:val="en-GB"/>
        </w:rPr>
        <w:t xml:space="preserve"> the introduction of the Cadastral map in the production chain. Before </w:t>
      </w:r>
      <w:r w:rsidR="00D40BFB">
        <w:rPr>
          <w:rFonts w:eastAsia="Arial Unicode MS"/>
          <w:lang w:val="en-GB"/>
        </w:rPr>
        <w:t xml:space="preserve">Statistics Sweden joined </w:t>
      </w:r>
      <w:r w:rsidRPr="00B238D9">
        <w:rPr>
          <w:rFonts w:eastAsia="Arial Unicode MS"/>
          <w:lang w:val="en-GB"/>
        </w:rPr>
        <w:t xml:space="preserve">the </w:t>
      </w:r>
      <w:proofErr w:type="spellStart"/>
      <w:r w:rsidRPr="00B238D9">
        <w:rPr>
          <w:rFonts w:eastAsia="Arial Unicode MS"/>
          <w:lang w:val="en-GB"/>
        </w:rPr>
        <w:t>Geodata</w:t>
      </w:r>
      <w:proofErr w:type="spellEnd"/>
      <w:r w:rsidRPr="00B238D9">
        <w:rPr>
          <w:rFonts w:eastAsia="Arial Unicode MS"/>
          <w:lang w:val="en-GB"/>
        </w:rPr>
        <w:t xml:space="preserve"> Cooperation, the Cadastral map was far t</w:t>
      </w:r>
      <w:r w:rsidR="00DF670A">
        <w:rPr>
          <w:rFonts w:eastAsia="Arial Unicode MS"/>
          <w:lang w:val="en-GB"/>
        </w:rPr>
        <w:t>oo expensive to acquire. T</w:t>
      </w:r>
      <w:r w:rsidRPr="00B238D9">
        <w:rPr>
          <w:rFonts w:eastAsia="Arial Unicode MS"/>
          <w:lang w:val="en-GB"/>
        </w:rPr>
        <w:t xml:space="preserve">oday, a full copy of the map database is acquired once a year. The Cadastral map contains not only geographical representations of </w:t>
      </w:r>
      <w:r w:rsidR="00D71301">
        <w:rPr>
          <w:rFonts w:eastAsia="Arial Unicode MS"/>
          <w:lang w:val="en-GB"/>
        </w:rPr>
        <w:t>real estate parcels</w:t>
      </w:r>
      <w:r w:rsidRPr="00B238D9">
        <w:rPr>
          <w:rFonts w:eastAsia="Arial Unicode MS"/>
          <w:lang w:val="en-GB"/>
        </w:rPr>
        <w:t xml:space="preserve"> (covering the entire country) but also land use regulations and topographical features, such as land use, water bodies, buildings, roads, extraction sites, airports etc. in scale 1:10 000. The geographical </w:t>
      </w:r>
      <w:proofErr w:type="gramStart"/>
      <w:r w:rsidRPr="00B238D9">
        <w:rPr>
          <w:rFonts w:eastAsia="Arial Unicode MS"/>
          <w:lang w:val="en-GB"/>
        </w:rPr>
        <w:t>representations of the parcel property units has</w:t>
      </w:r>
      <w:proofErr w:type="gramEnd"/>
      <w:r w:rsidRPr="00B238D9">
        <w:rPr>
          <w:rFonts w:eastAsia="Arial Unicode MS"/>
          <w:lang w:val="en-GB"/>
        </w:rPr>
        <w:t xml:space="preserve"> </w:t>
      </w:r>
      <w:r w:rsidR="0037408A">
        <w:rPr>
          <w:rFonts w:eastAsia="Arial Unicode MS"/>
          <w:lang w:val="en-GB"/>
        </w:rPr>
        <w:t>id’s corresponding to</w:t>
      </w:r>
      <w:r w:rsidRPr="00B238D9">
        <w:rPr>
          <w:rFonts w:eastAsia="Arial Unicode MS"/>
          <w:lang w:val="en-GB"/>
        </w:rPr>
        <w:t xml:space="preserve"> </w:t>
      </w:r>
      <w:r w:rsidR="00B32E40">
        <w:rPr>
          <w:rFonts w:eastAsia="Arial Unicode MS"/>
          <w:lang w:val="en-GB"/>
        </w:rPr>
        <w:t xml:space="preserve">records with </w:t>
      </w:r>
      <w:r w:rsidRPr="00B238D9">
        <w:rPr>
          <w:rFonts w:eastAsia="Arial Unicode MS"/>
          <w:lang w:val="en-GB"/>
        </w:rPr>
        <w:t xml:space="preserve">administrative information in the Real Property Register, concerning ownership, </w:t>
      </w:r>
      <w:r w:rsidRPr="00B238D9">
        <w:rPr>
          <w:rFonts w:eastAsia="Arial Unicode MS"/>
          <w:lang w:val="en-GB"/>
        </w:rPr>
        <w:lastRenderedPageBreak/>
        <w:t xml:space="preserve">taxation etc. Statistics Sweden had access to the Real Property Register, including coordinates, even before the </w:t>
      </w:r>
      <w:proofErr w:type="spellStart"/>
      <w:r w:rsidRPr="00B238D9">
        <w:rPr>
          <w:rFonts w:eastAsia="Arial Unicode MS"/>
          <w:lang w:val="en-GB"/>
        </w:rPr>
        <w:t>Geodata</w:t>
      </w:r>
      <w:proofErr w:type="spellEnd"/>
      <w:r w:rsidRPr="00B238D9">
        <w:rPr>
          <w:rFonts w:eastAsia="Arial Unicode MS"/>
          <w:lang w:val="en-GB"/>
        </w:rPr>
        <w:t xml:space="preserve"> Cooperation but due to the lack of physical delimitation of the </w:t>
      </w:r>
      <w:r w:rsidR="00D71301">
        <w:rPr>
          <w:rFonts w:eastAsia="Arial Unicode MS"/>
          <w:lang w:val="en-GB"/>
        </w:rPr>
        <w:t xml:space="preserve">real estate </w:t>
      </w:r>
      <w:r w:rsidRPr="00B238D9">
        <w:rPr>
          <w:rFonts w:eastAsia="Arial Unicode MS"/>
          <w:lang w:val="en-GB"/>
        </w:rPr>
        <w:t xml:space="preserve">parcels, the use of the register information was limited in a geospatial sense.   </w:t>
      </w:r>
    </w:p>
    <w:p w:rsidR="00B238D9" w:rsidRPr="00B238D9" w:rsidRDefault="00B238D9" w:rsidP="00B238D9">
      <w:pPr>
        <w:jc w:val="both"/>
        <w:rPr>
          <w:rFonts w:eastAsia="Arial Unicode MS"/>
          <w:lang w:val="en-GB"/>
        </w:rPr>
      </w:pPr>
    </w:p>
    <w:p w:rsidR="00B238D9" w:rsidRPr="00B238D9" w:rsidRDefault="00B238D9" w:rsidP="00B238D9">
      <w:pPr>
        <w:jc w:val="both"/>
        <w:rPr>
          <w:rFonts w:eastAsia="Arial Unicode MS"/>
          <w:lang w:val="en-GB"/>
        </w:rPr>
      </w:pPr>
      <w:r w:rsidRPr="00B238D9">
        <w:rPr>
          <w:rFonts w:eastAsia="Arial Unicode MS"/>
          <w:lang w:val="en-GB"/>
        </w:rPr>
        <w:t xml:space="preserve">By combining different thematic components of the map together with corresponding information from the Real Property Register the land use context and ownership can be assessed at the level of individual parcels. Before accessing the </w:t>
      </w:r>
      <w:proofErr w:type="spellStart"/>
      <w:r w:rsidRPr="00B238D9">
        <w:rPr>
          <w:rFonts w:eastAsia="Arial Unicode MS"/>
          <w:lang w:val="en-GB"/>
        </w:rPr>
        <w:t>Geodata</w:t>
      </w:r>
      <w:proofErr w:type="spellEnd"/>
      <w:r w:rsidRPr="00B238D9">
        <w:rPr>
          <w:rFonts w:eastAsia="Arial Unicode MS"/>
          <w:lang w:val="en-GB"/>
        </w:rPr>
        <w:t xml:space="preserve"> Cooperation</w:t>
      </w:r>
      <w:r w:rsidR="00D71301">
        <w:rPr>
          <w:rFonts w:eastAsia="Arial Unicode MS"/>
          <w:lang w:val="en-GB"/>
        </w:rPr>
        <w:t>,</w:t>
      </w:r>
      <w:r w:rsidRPr="00B238D9">
        <w:rPr>
          <w:rFonts w:eastAsia="Arial Unicode MS"/>
          <w:lang w:val="en-GB"/>
        </w:rPr>
        <w:t xml:space="preserve"> Statistics Sweden’s calculations of built-up land were entirely based on administrative figures from the Real Estate Tax assessment register. By combining the Real Estate Tax assessment register with the Cadastral map, </w:t>
      </w:r>
      <w:r w:rsidR="00D71301">
        <w:rPr>
          <w:rFonts w:eastAsia="Arial Unicode MS"/>
          <w:lang w:val="en-GB"/>
        </w:rPr>
        <w:t xml:space="preserve">thus increasing the accuracy, </w:t>
      </w:r>
      <w:r w:rsidRPr="00B238D9">
        <w:rPr>
          <w:rFonts w:eastAsia="Arial Unicode MS"/>
          <w:lang w:val="en-GB"/>
        </w:rPr>
        <w:t>the estimated area of certain categories of built-up land has been reduced by 50 percent</w:t>
      </w:r>
      <w:r w:rsidR="00B32E40">
        <w:rPr>
          <w:rFonts w:eastAsia="Arial Unicode MS"/>
          <w:lang w:val="en-GB"/>
        </w:rPr>
        <w:t xml:space="preserve"> [4]</w:t>
      </w:r>
      <w:r w:rsidRPr="00B238D9">
        <w:rPr>
          <w:rFonts w:eastAsia="Arial Unicode MS"/>
          <w:lang w:val="en-GB"/>
        </w:rPr>
        <w:t>.</w:t>
      </w:r>
    </w:p>
    <w:p w:rsidR="00B238D9" w:rsidRPr="00B238D9" w:rsidRDefault="00B238D9" w:rsidP="00B238D9">
      <w:pPr>
        <w:jc w:val="both"/>
        <w:rPr>
          <w:rFonts w:eastAsia="Arial Unicode MS"/>
          <w:lang w:val="en-GB"/>
        </w:rPr>
      </w:pPr>
    </w:p>
    <w:p w:rsidR="00B71FF7" w:rsidRDefault="00B238D9" w:rsidP="00D71301">
      <w:pPr>
        <w:jc w:val="both"/>
        <w:rPr>
          <w:rFonts w:eastAsia="Arial Unicode MS"/>
          <w:lang w:val="en-GB"/>
        </w:rPr>
      </w:pPr>
      <w:r w:rsidRPr="00B238D9">
        <w:rPr>
          <w:rFonts w:eastAsia="Arial Unicode MS"/>
          <w:lang w:val="en-GB"/>
        </w:rPr>
        <w:t xml:space="preserve">The </w:t>
      </w:r>
      <w:r w:rsidR="00DF670A">
        <w:rPr>
          <w:rFonts w:eastAsia="Arial Unicode MS"/>
          <w:lang w:val="en-GB"/>
        </w:rPr>
        <w:t>increased</w:t>
      </w:r>
      <w:r w:rsidRPr="00B238D9">
        <w:rPr>
          <w:rFonts w:eastAsia="Arial Unicode MS"/>
          <w:lang w:val="en-GB"/>
        </w:rPr>
        <w:t xml:space="preserve"> accuracy of area estimations is not only limited to </w:t>
      </w:r>
      <w:r w:rsidR="00D71301">
        <w:rPr>
          <w:rFonts w:eastAsia="Arial Unicode MS"/>
          <w:lang w:val="en-GB"/>
        </w:rPr>
        <w:t xml:space="preserve">calculation of </w:t>
      </w:r>
      <w:r w:rsidRPr="00B238D9">
        <w:rPr>
          <w:rFonts w:eastAsia="Arial Unicode MS"/>
          <w:lang w:val="en-GB"/>
        </w:rPr>
        <w:t xml:space="preserve">built-up land. </w:t>
      </w:r>
      <w:r w:rsidR="00B71FF7" w:rsidRPr="00AC1F03">
        <w:rPr>
          <w:rFonts w:eastAsia="Arial Unicode MS"/>
          <w:lang w:val="en-GB"/>
        </w:rPr>
        <w:t xml:space="preserve">Another </w:t>
      </w:r>
      <w:r w:rsidR="00D71301">
        <w:rPr>
          <w:rFonts w:eastAsia="Arial Unicode MS"/>
          <w:lang w:val="en-GB"/>
        </w:rPr>
        <w:t xml:space="preserve">typical </w:t>
      </w:r>
      <w:r w:rsidR="00B71FF7" w:rsidRPr="00AC1F03">
        <w:rPr>
          <w:rFonts w:eastAsia="Arial Unicode MS"/>
          <w:lang w:val="en-GB"/>
        </w:rPr>
        <w:t xml:space="preserve">example </w:t>
      </w:r>
      <w:r w:rsidR="003C55F9">
        <w:rPr>
          <w:rFonts w:eastAsia="Arial Unicode MS"/>
          <w:lang w:val="en-GB"/>
        </w:rPr>
        <w:t xml:space="preserve">of quality improvements, </w:t>
      </w:r>
      <w:r w:rsidR="00B71FF7" w:rsidRPr="00AC1F03">
        <w:rPr>
          <w:rFonts w:eastAsia="Arial Unicode MS"/>
          <w:lang w:val="en-GB"/>
        </w:rPr>
        <w:t>widely noted by the media</w:t>
      </w:r>
      <w:r w:rsidR="003C55F9">
        <w:rPr>
          <w:rFonts w:eastAsia="Arial Unicode MS"/>
          <w:lang w:val="en-GB"/>
        </w:rPr>
        <w:t xml:space="preserve">, </w:t>
      </w:r>
      <w:r w:rsidR="00B71FF7" w:rsidRPr="00AC1F03">
        <w:rPr>
          <w:rFonts w:eastAsia="Arial Unicode MS"/>
          <w:lang w:val="en-GB"/>
        </w:rPr>
        <w:t xml:space="preserve">was the press release on Land and water areas </w:t>
      </w:r>
      <w:r w:rsidR="00B71FF7">
        <w:rPr>
          <w:rFonts w:eastAsia="Arial Unicode MS"/>
          <w:lang w:val="en-GB"/>
        </w:rPr>
        <w:t>in</w:t>
      </w:r>
      <w:r w:rsidR="00B71FF7" w:rsidRPr="00AC1F03">
        <w:rPr>
          <w:rFonts w:eastAsia="Arial Unicode MS"/>
          <w:lang w:val="en-GB"/>
        </w:rPr>
        <w:t xml:space="preserve"> 2012. </w:t>
      </w:r>
      <w:r w:rsidR="00B71FF7" w:rsidRPr="00B238D9">
        <w:rPr>
          <w:rFonts w:eastAsia="Arial Unicode MS"/>
          <w:lang w:val="en-GB"/>
        </w:rPr>
        <w:t xml:space="preserve">The new </w:t>
      </w:r>
      <w:r w:rsidR="00B71FF7">
        <w:rPr>
          <w:rFonts w:eastAsia="Arial Unicode MS"/>
          <w:lang w:val="en-GB"/>
        </w:rPr>
        <w:t>method</w:t>
      </w:r>
      <w:r w:rsidR="00D71301">
        <w:rPr>
          <w:rFonts w:eastAsia="Arial Unicode MS"/>
          <w:lang w:val="en-GB"/>
        </w:rPr>
        <w:t xml:space="preserve"> employed</w:t>
      </w:r>
      <w:r w:rsidR="00B71FF7">
        <w:rPr>
          <w:rFonts w:eastAsia="Arial Unicode MS"/>
          <w:lang w:val="en-GB"/>
        </w:rPr>
        <w:t>, based on</w:t>
      </w:r>
      <w:r w:rsidR="00B71FF7" w:rsidRPr="00AC1F03">
        <w:rPr>
          <w:rFonts w:eastAsia="Arial Unicode MS"/>
          <w:lang w:val="en-GB"/>
        </w:rPr>
        <w:t xml:space="preserve"> real estate boundaries </w:t>
      </w:r>
      <w:r w:rsidR="00B71FF7">
        <w:rPr>
          <w:rFonts w:eastAsia="Arial Unicode MS"/>
          <w:lang w:val="en-GB"/>
        </w:rPr>
        <w:t>and</w:t>
      </w:r>
      <w:r w:rsidR="00B71FF7" w:rsidRPr="00AC1F03">
        <w:rPr>
          <w:rFonts w:eastAsia="Arial Unicode MS"/>
          <w:lang w:val="en-GB"/>
        </w:rPr>
        <w:t xml:space="preserve"> </w:t>
      </w:r>
      <w:r w:rsidR="003C55F9">
        <w:rPr>
          <w:rFonts w:eastAsia="Arial Unicode MS"/>
          <w:lang w:val="en-GB"/>
        </w:rPr>
        <w:t>water bodies from the Cadastral map</w:t>
      </w:r>
      <w:r w:rsidR="00B71FF7">
        <w:rPr>
          <w:rFonts w:eastAsia="Arial Unicode MS"/>
          <w:lang w:val="en-GB"/>
        </w:rPr>
        <w:t xml:space="preserve">, </w:t>
      </w:r>
      <w:r w:rsidR="00B71FF7" w:rsidRPr="00B238D9">
        <w:rPr>
          <w:rFonts w:eastAsia="Arial Unicode MS"/>
          <w:lang w:val="en-GB"/>
        </w:rPr>
        <w:t>“</w:t>
      </w:r>
      <w:proofErr w:type="spellStart"/>
      <w:r w:rsidR="00B71FF7" w:rsidRPr="00B238D9">
        <w:rPr>
          <w:rFonts w:eastAsia="Arial Unicode MS"/>
          <w:lang w:val="en-GB"/>
        </w:rPr>
        <w:t>shrinked</w:t>
      </w:r>
      <w:proofErr w:type="spellEnd"/>
      <w:r w:rsidR="00B71FF7" w:rsidRPr="00B238D9">
        <w:rPr>
          <w:rFonts w:eastAsia="Arial Unicode MS"/>
          <w:lang w:val="en-GB"/>
        </w:rPr>
        <w:t>” the land area of Sweden with some 3,000 square kilometres or 0.7 percent.</w:t>
      </w:r>
      <w:r w:rsidR="00B71FF7">
        <w:rPr>
          <w:rFonts w:eastAsia="Arial Unicode MS"/>
          <w:lang w:val="en-GB"/>
        </w:rPr>
        <w:t xml:space="preserve"> </w:t>
      </w:r>
      <w:r w:rsidR="00B71FF7" w:rsidRPr="00AC1F03">
        <w:rPr>
          <w:rFonts w:eastAsia="Arial Unicode MS"/>
          <w:lang w:val="en-GB"/>
        </w:rPr>
        <w:t>The area of inland water (lakes and rivers) had been equally underestimated, while the territ</w:t>
      </w:r>
      <w:r w:rsidR="003C55F9">
        <w:rPr>
          <w:rFonts w:eastAsia="Arial Unicode MS"/>
          <w:lang w:val="en-GB"/>
        </w:rPr>
        <w:t>orial border remains unchanged</w:t>
      </w:r>
      <w:r w:rsidR="00B32E40">
        <w:rPr>
          <w:rFonts w:eastAsia="Arial Unicode MS"/>
          <w:lang w:val="en-GB"/>
        </w:rPr>
        <w:t xml:space="preserve"> [5]</w:t>
      </w:r>
      <w:r w:rsidR="003C55F9">
        <w:rPr>
          <w:rFonts w:eastAsia="Arial Unicode MS"/>
          <w:lang w:val="en-GB"/>
        </w:rPr>
        <w:t>.</w:t>
      </w:r>
    </w:p>
    <w:p w:rsidR="00001FBD" w:rsidRDefault="00001FBD" w:rsidP="00B238D9">
      <w:pPr>
        <w:jc w:val="both"/>
        <w:rPr>
          <w:rFonts w:eastAsia="Arial Unicode MS"/>
          <w:lang w:val="en-GB"/>
        </w:rPr>
      </w:pPr>
    </w:p>
    <w:p w:rsidR="00B238D9" w:rsidRPr="00EA6C52" w:rsidRDefault="00B238D9" w:rsidP="00B238D9">
      <w:pPr>
        <w:jc w:val="both"/>
        <w:rPr>
          <w:color w:val="1F497D"/>
        </w:rPr>
      </w:pPr>
      <w:r w:rsidRPr="00B238D9">
        <w:rPr>
          <w:rFonts w:eastAsia="Arial Unicode MS"/>
          <w:lang w:val="en-GB"/>
        </w:rPr>
        <w:t>On</w:t>
      </w:r>
      <w:r w:rsidR="00001FBD">
        <w:rPr>
          <w:rFonts w:eastAsia="Arial Unicode MS"/>
          <w:lang w:val="en-GB"/>
        </w:rPr>
        <w:t>e</w:t>
      </w:r>
      <w:r w:rsidRPr="00B238D9">
        <w:rPr>
          <w:rFonts w:eastAsia="Arial Unicode MS"/>
          <w:lang w:val="en-GB"/>
        </w:rPr>
        <w:t xml:space="preserve"> example of new statistics following in the wake of the </w:t>
      </w:r>
      <w:proofErr w:type="spellStart"/>
      <w:r w:rsidRPr="00B238D9">
        <w:rPr>
          <w:rFonts w:eastAsia="Arial Unicode MS"/>
          <w:lang w:val="en-GB"/>
        </w:rPr>
        <w:t>Geodata</w:t>
      </w:r>
      <w:proofErr w:type="spellEnd"/>
      <w:r w:rsidRPr="00B238D9">
        <w:rPr>
          <w:rFonts w:eastAsia="Arial Unicode MS"/>
          <w:lang w:val="en-GB"/>
        </w:rPr>
        <w:t xml:space="preserve"> Cooperation is building footprints, i.e. the total ground space of physical buildings. In conjunction with the launch of the </w:t>
      </w:r>
      <w:proofErr w:type="spellStart"/>
      <w:r w:rsidRPr="00B238D9">
        <w:rPr>
          <w:rFonts w:eastAsia="Arial Unicode MS"/>
          <w:lang w:val="en-GB"/>
        </w:rPr>
        <w:t>Geodata</w:t>
      </w:r>
      <w:proofErr w:type="spellEnd"/>
      <w:r w:rsidRPr="00B238D9">
        <w:rPr>
          <w:rFonts w:eastAsia="Arial Unicode MS"/>
          <w:lang w:val="en-GB"/>
        </w:rPr>
        <w:t xml:space="preserve"> Cooperation in 2011, the first complete version of the national building register was released by the NMCA. The register is a part of the Real Property Register</w:t>
      </w:r>
      <w:r w:rsidR="00D21596">
        <w:rPr>
          <w:rFonts w:eastAsia="Arial Unicode MS"/>
          <w:lang w:val="en-GB"/>
        </w:rPr>
        <w:t xml:space="preserve"> </w:t>
      </w:r>
      <w:r w:rsidRPr="00B238D9">
        <w:rPr>
          <w:rFonts w:eastAsia="Arial Unicode MS"/>
          <w:lang w:val="en-GB"/>
        </w:rPr>
        <w:t>[</w:t>
      </w:r>
      <w:r w:rsidR="002963D4">
        <w:rPr>
          <w:rFonts w:eastAsia="Arial Unicode MS"/>
          <w:lang w:val="en-GB"/>
        </w:rPr>
        <w:t>6</w:t>
      </w:r>
      <w:r w:rsidRPr="00B238D9">
        <w:rPr>
          <w:rFonts w:eastAsia="Arial Unicode MS"/>
          <w:lang w:val="en-GB"/>
        </w:rPr>
        <w:t>] containing some 7</w:t>
      </w:r>
      <w:proofErr w:type="gramStart"/>
      <w:r w:rsidRPr="00B238D9">
        <w:rPr>
          <w:rFonts w:eastAsia="Arial Unicode MS"/>
          <w:lang w:val="en-GB"/>
        </w:rPr>
        <w:t>,2</w:t>
      </w:r>
      <w:proofErr w:type="gramEnd"/>
      <w:r w:rsidRPr="00B238D9">
        <w:rPr>
          <w:rFonts w:eastAsia="Arial Unicode MS"/>
          <w:lang w:val="en-GB"/>
        </w:rPr>
        <w:t xml:space="preserve"> million </w:t>
      </w:r>
      <w:proofErr w:type="spellStart"/>
      <w:r w:rsidRPr="00B238D9">
        <w:rPr>
          <w:rFonts w:eastAsia="Arial Unicode MS"/>
          <w:lang w:val="en-GB"/>
        </w:rPr>
        <w:t>georeferenced</w:t>
      </w:r>
      <w:proofErr w:type="spellEnd"/>
      <w:r w:rsidRPr="00B238D9">
        <w:rPr>
          <w:rFonts w:eastAsia="Arial Unicode MS"/>
          <w:lang w:val="en-GB"/>
        </w:rPr>
        <w:t xml:space="preserve"> buildings including information on building type etc. </w:t>
      </w:r>
      <w:r w:rsidR="00DF670A">
        <w:rPr>
          <w:rFonts w:eastAsia="Arial Unicode MS"/>
          <w:lang w:val="en-GB"/>
        </w:rPr>
        <w:t xml:space="preserve">The building register was used </w:t>
      </w:r>
      <w:r w:rsidRPr="00B238D9">
        <w:rPr>
          <w:rFonts w:eastAsia="Arial Unicode MS"/>
          <w:lang w:val="en-GB"/>
        </w:rPr>
        <w:t>by Statistics Sweden to make the first accurate calculation of the total building footprint in the country</w:t>
      </w:r>
      <w:r w:rsidR="002963D4">
        <w:rPr>
          <w:rFonts w:eastAsia="Arial Unicode MS"/>
          <w:lang w:val="en-GB"/>
        </w:rPr>
        <w:t xml:space="preserve"> [7]</w:t>
      </w:r>
      <w:r w:rsidRPr="00B238D9">
        <w:rPr>
          <w:rFonts w:eastAsia="Arial Unicode MS"/>
          <w:lang w:val="en-GB"/>
        </w:rPr>
        <w:t xml:space="preserve">. The </w:t>
      </w:r>
      <w:r w:rsidR="006C34D5">
        <w:rPr>
          <w:rFonts w:eastAsia="Arial Unicode MS"/>
          <w:lang w:val="en-GB"/>
        </w:rPr>
        <w:t xml:space="preserve">press </w:t>
      </w:r>
      <w:r w:rsidRPr="00B238D9">
        <w:rPr>
          <w:rFonts w:eastAsia="Arial Unicode MS"/>
          <w:lang w:val="en-GB"/>
        </w:rPr>
        <w:t>release yielded great</w:t>
      </w:r>
      <w:r w:rsidR="002B3BC3">
        <w:rPr>
          <w:rFonts w:eastAsia="Arial Unicode MS"/>
          <w:lang w:val="en-GB"/>
        </w:rPr>
        <w:t xml:space="preserve"> media</w:t>
      </w:r>
      <w:r w:rsidRPr="00B238D9">
        <w:rPr>
          <w:rFonts w:eastAsia="Arial Unicode MS"/>
          <w:lang w:val="en-GB"/>
        </w:rPr>
        <w:t xml:space="preserve"> response as it showed that </w:t>
      </w:r>
      <w:r w:rsidR="00097462">
        <w:rPr>
          <w:rFonts w:eastAsia="Arial Unicode MS"/>
          <w:lang w:val="en-GB"/>
        </w:rPr>
        <w:t xml:space="preserve">the </w:t>
      </w:r>
      <w:r w:rsidR="006C34D5">
        <w:rPr>
          <w:rFonts w:eastAsia="Arial Unicode MS"/>
          <w:lang w:val="en-GB"/>
        </w:rPr>
        <w:t>footprint</w:t>
      </w:r>
      <w:r w:rsidR="00097462">
        <w:rPr>
          <w:rFonts w:eastAsia="Arial Unicode MS"/>
          <w:lang w:val="en-GB"/>
        </w:rPr>
        <w:t xml:space="preserve"> amounted to no more than </w:t>
      </w:r>
      <w:r w:rsidR="006C34D5">
        <w:rPr>
          <w:rFonts w:eastAsia="Arial Unicode MS"/>
          <w:lang w:val="en-GB"/>
        </w:rPr>
        <w:t xml:space="preserve">93.000 hectares, an area </w:t>
      </w:r>
      <w:r w:rsidR="00925FD4">
        <w:rPr>
          <w:rFonts w:eastAsia="Arial Unicode MS"/>
          <w:lang w:val="en-GB"/>
        </w:rPr>
        <w:t xml:space="preserve">that </w:t>
      </w:r>
      <w:r w:rsidR="00097462">
        <w:rPr>
          <w:rFonts w:eastAsia="Arial Unicode MS"/>
          <w:lang w:val="en-GB"/>
        </w:rPr>
        <w:t>equal</w:t>
      </w:r>
      <w:r w:rsidR="00925FD4">
        <w:rPr>
          <w:rFonts w:eastAsia="Arial Unicode MS"/>
          <w:lang w:val="en-GB"/>
        </w:rPr>
        <w:t>s</w:t>
      </w:r>
      <w:r w:rsidR="00097462">
        <w:rPr>
          <w:rFonts w:eastAsia="Arial Unicode MS"/>
          <w:lang w:val="en-GB"/>
        </w:rPr>
        <w:t xml:space="preserve"> </w:t>
      </w:r>
      <w:r w:rsidRPr="00B238D9">
        <w:rPr>
          <w:rFonts w:eastAsia="Arial Unicode MS"/>
          <w:lang w:val="en-GB"/>
        </w:rPr>
        <w:t xml:space="preserve">two thirds of the </w:t>
      </w:r>
      <w:r w:rsidR="00097462">
        <w:rPr>
          <w:rFonts w:eastAsia="Arial Unicode MS"/>
          <w:lang w:val="en-GB"/>
        </w:rPr>
        <w:t xml:space="preserve">small </w:t>
      </w:r>
      <w:r w:rsidRPr="00B238D9">
        <w:rPr>
          <w:rFonts w:eastAsia="Arial Unicode MS"/>
          <w:lang w:val="en-GB"/>
        </w:rPr>
        <w:t xml:space="preserve">Baltic </w:t>
      </w:r>
      <w:proofErr w:type="gramStart"/>
      <w:r w:rsidR="00925FD4">
        <w:rPr>
          <w:rFonts w:eastAsia="Arial Unicode MS"/>
          <w:lang w:val="en-GB"/>
        </w:rPr>
        <w:t>sea</w:t>
      </w:r>
      <w:proofErr w:type="gramEnd"/>
      <w:r w:rsidR="00925FD4">
        <w:rPr>
          <w:rFonts w:eastAsia="Arial Unicode MS"/>
          <w:lang w:val="en-GB"/>
        </w:rPr>
        <w:t xml:space="preserve"> </w:t>
      </w:r>
      <w:r w:rsidRPr="00B238D9">
        <w:rPr>
          <w:rFonts w:eastAsia="Arial Unicode MS"/>
          <w:lang w:val="en-GB"/>
        </w:rPr>
        <w:t xml:space="preserve">Island </w:t>
      </w:r>
      <w:r w:rsidR="00097462">
        <w:rPr>
          <w:rFonts w:eastAsia="Arial Unicode MS"/>
          <w:lang w:val="en-GB"/>
        </w:rPr>
        <w:t xml:space="preserve">of </w:t>
      </w:r>
      <w:proofErr w:type="spellStart"/>
      <w:r w:rsidRPr="00B238D9">
        <w:rPr>
          <w:rFonts w:eastAsia="Arial Unicode MS"/>
          <w:lang w:val="en-GB"/>
        </w:rPr>
        <w:t>Öland</w:t>
      </w:r>
      <w:proofErr w:type="spellEnd"/>
      <w:r w:rsidRPr="00B238D9">
        <w:rPr>
          <w:rFonts w:eastAsia="Arial Unicode MS"/>
          <w:lang w:val="en-GB"/>
        </w:rPr>
        <w:t xml:space="preserve">, a well-known place to Swedish holidaymakers. </w:t>
      </w:r>
      <w:r w:rsidR="00901754">
        <w:rPr>
          <w:rFonts w:eastAsia="Arial Unicode MS"/>
          <w:lang w:val="en-GB"/>
        </w:rPr>
        <w:t xml:space="preserve">The building footprint </w:t>
      </w:r>
      <w:r w:rsidRPr="00B238D9">
        <w:rPr>
          <w:rFonts w:eastAsia="Arial Unicode MS"/>
          <w:lang w:val="en-GB"/>
        </w:rPr>
        <w:t>figures have also been frequently requested by researchers and students trying to make accurate assessment on roof space potentially available for solar panel installations [</w:t>
      </w:r>
      <w:r w:rsidR="000C2691">
        <w:rPr>
          <w:rFonts w:eastAsia="Arial Unicode MS"/>
          <w:lang w:val="en-GB"/>
        </w:rPr>
        <w:t>8</w:t>
      </w:r>
      <w:r w:rsidRPr="00B238D9">
        <w:rPr>
          <w:rFonts w:eastAsia="Arial Unicode MS"/>
          <w:lang w:val="en-GB"/>
        </w:rPr>
        <w:t xml:space="preserve">]. </w:t>
      </w:r>
    </w:p>
    <w:p w:rsidR="00EA6C52" w:rsidRPr="0029739A" w:rsidRDefault="00EA6C52" w:rsidP="00B238D9">
      <w:pPr>
        <w:jc w:val="both"/>
        <w:rPr>
          <w:rFonts w:eastAsia="Arial Unicode MS"/>
          <w:i/>
          <w:lang w:val="en-GB"/>
        </w:rPr>
      </w:pPr>
      <w:proofErr w:type="gramStart"/>
      <w:r w:rsidRPr="0029739A">
        <w:rPr>
          <w:rFonts w:eastAsia="Arial Unicode MS"/>
          <w:i/>
          <w:lang w:val="en-GB"/>
        </w:rPr>
        <w:lastRenderedPageBreak/>
        <w:t>Figure 1.</w:t>
      </w:r>
      <w:proofErr w:type="gramEnd"/>
      <w:r w:rsidRPr="0029739A">
        <w:rPr>
          <w:rFonts w:eastAsia="Arial Unicode MS"/>
          <w:i/>
          <w:lang w:val="en-GB"/>
        </w:rPr>
        <w:t xml:space="preserve"> </w:t>
      </w:r>
      <w:proofErr w:type="spellStart"/>
      <w:r w:rsidRPr="0029739A">
        <w:rPr>
          <w:rFonts w:eastAsia="Arial Unicode MS"/>
          <w:i/>
          <w:lang w:val="en-GB"/>
        </w:rPr>
        <w:t>Infographics</w:t>
      </w:r>
      <w:proofErr w:type="spellEnd"/>
      <w:r w:rsidRPr="0029739A">
        <w:rPr>
          <w:rFonts w:eastAsia="Arial Unicode MS"/>
          <w:i/>
          <w:lang w:val="en-GB"/>
        </w:rPr>
        <w:t xml:space="preserve"> from Statistics Sweden’s Facebook account illus</w:t>
      </w:r>
      <w:r w:rsidR="0029739A">
        <w:rPr>
          <w:rFonts w:eastAsia="Arial Unicode MS"/>
          <w:i/>
          <w:lang w:val="en-GB"/>
        </w:rPr>
        <w:t xml:space="preserve">trating the total building footprint of Sweden. </w:t>
      </w:r>
    </w:p>
    <w:p w:rsidR="00B238D9" w:rsidRPr="00B238D9" w:rsidRDefault="00EA6C52" w:rsidP="00B238D9">
      <w:pPr>
        <w:jc w:val="both"/>
        <w:rPr>
          <w:rFonts w:eastAsia="Arial Unicode MS"/>
          <w:lang w:val="en-GB"/>
        </w:rPr>
      </w:pPr>
      <w:r>
        <w:rPr>
          <w:noProof/>
          <w:color w:val="1F497D"/>
        </w:rPr>
        <w:drawing>
          <wp:inline distT="0" distB="0" distL="0" distR="0" wp14:anchorId="6CA275C9" wp14:editId="2F8D85C6">
            <wp:extent cx="5310505" cy="5310505"/>
            <wp:effectExtent l="0" t="0" r="4445" b="4445"/>
            <wp:docPr id="1" name="Bildobjekt 1" descr="cid:image001.jpg@01CEDF97.AA695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jpg@01CEDF97.AA695A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10505" cy="5310505"/>
                    </a:xfrm>
                    <a:prstGeom prst="rect">
                      <a:avLst/>
                    </a:prstGeom>
                    <a:noFill/>
                    <a:ln>
                      <a:noFill/>
                    </a:ln>
                  </pic:spPr>
                </pic:pic>
              </a:graphicData>
            </a:graphic>
          </wp:inline>
        </w:drawing>
      </w:r>
    </w:p>
    <w:p w:rsidR="00B238D9" w:rsidRPr="00B11FF7" w:rsidRDefault="007373D3" w:rsidP="00B11FF7">
      <w:pPr>
        <w:keepNext/>
        <w:keepLines/>
        <w:spacing w:before="120" w:after="180"/>
        <w:jc w:val="both"/>
        <w:outlineLvl w:val="1"/>
        <w:rPr>
          <w:rFonts w:eastAsia="Arial Unicode MS"/>
          <w:b/>
          <w:lang w:val="en-GB"/>
        </w:rPr>
      </w:pPr>
      <w:r>
        <w:rPr>
          <w:rFonts w:eastAsia="Arial Unicode MS"/>
          <w:b/>
          <w:lang w:val="en-GB"/>
        </w:rPr>
        <w:t xml:space="preserve">5 </w:t>
      </w:r>
      <w:r w:rsidR="00B11FF7" w:rsidRPr="00B11FF7">
        <w:rPr>
          <w:rFonts w:eastAsia="Arial Unicode MS"/>
          <w:b/>
          <w:lang w:val="en-GB"/>
        </w:rPr>
        <w:t>Some challenges</w:t>
      </w:r>
    </w:p>
    <w:p w:rsidR="0009099B" w:rsidRDefault="00072E91" w:rsidP="00620B03">
      <w:pPr>
        <w:tabs>
          <w:tab w:val="left" w:pos="3969"/>
        </w:tabs>
        <w:jc w:val="both"/>
        <w:rPr>
          <w:rFonts w:eastAsia="Arial Unicode MS"/>
          <w:lang w:val="en-US"/>
        </w:rPr>
      </w:pPr>
      <w:r>
        <w:rPr>
          <w:rFonts w:eastAsia="Arial Unicode MS"/>
          <w:lang w:val="en-US"/>
        </w:rPr>
        <w:t xml:space="preserve">This paper has focused on </w:t>
      </w:r>
      <w:r w:rsidR="00672173">
        <w:rPr>
          <w:rFonts w:eastAsia="Arial Unicode MS"/>
          <w:lang w:val="en-US"/>
        </w:rPr>
        <w:t xml:space="preserve">the benefits </w:t>
      </w:r>
      <w:r w:rsidR="00532AD1">
        <w:rPr>
          <w:rFonts w:eastAsia="Arial Unicode MS"/>
          <w:lang w:val="en-US"/>
        </w:rPr>
        <w:t xml:space="preserve">of data </w:t>
      </w:r>
      <w:r w:rsidR="001D2D26">
        <w:rPr>
          <w:rFonts w:eastAsia="Arial Unicode MS"/>
          <w:lang w:val="en-US"/>
        </w:rPr>
        <w:t xml:space="preserve">sharing and the </w:t>
      </w:r>
      <w:r w:rsidR="001D1B26">
        <w:rPr>
          <w:rFonts w:eastAsia="Arial Unicode MS"/>
          <w:lang w:val="en-US"/>
        </w:rPr>
        <w:t xml:space="preserve">quality </w:t>
      </w:r>
      <w:r w:rsidR="00672173">
        <w:rPr>
          <w:rFonts w:eastAsia="Arial Unicode MS"/>
          <w:lang w:val="en-US"/>
        </w:rPr>
        <w:t>improvement</w:t>
      </w:r>
      <w:r w:rsidR="001D2D26">
        <w:rPr>
          <w:rFonts w:eastAsia="Arial Unicode MS"/>
          <w:lang w:val="en-US"/>
        </w:rPr>
        <w:t xml:space="preserve"> </w:t>
      </w:r>
      <w:r w:rsidR="00672173">
        <w:rPr>
          <w:rFonts w:eastAsia="Arial Unicode MS"/>
          <w:lang w:val="en-US"/>
        </w:rPr>
        <w:t>in</w:t>
      </w:r>
      <w:r w:rsidR="005F75EA">
        <w:rPr>
          <w:rFonts w:eastAsia="Arial Unicode MS"/>
          <w:lang w:val="en-US"/>
        </w:rPr>
        <w:t xml:space="preserve"> official statis</w:t>
      </w:r>
      <w:r w:rsidR="00DF670A">
        <w:rPr>
          <w:rFonts w:eastAsia="Arial Unicode MS"/>
          <w:lang w:val="en-US"/>
        </w:rPr>
        <w:t>tics as a result of the increased</w:t>
      </w:r>
      <w:r w:rsidR="005F75EA">
        <w:rPr>
          <w:rFonts w:eastAsia="Arial Unicode MS"/>
          <w:lang w:val="en-US"/>
        </w:rPr>
        <w:t xml:space="preserve"> access to </w:t>
      </w:r>
      <w:r w:rsidR="009E45D2">
        <w:rPr>
          <w:rFonts w:eastAsia="Arial Unicode MS"/>
          <w:lang w:val="en-US"/>
        </w:rPr>
        <w:t>geospatial data</w:t>
      </w:r>
      <w:r w:rsidR="005F75EA">
        <w:rPr>
          <w:rFonts w:eastAsia="Arial Unicode MS"/>
          <w:lang w:val="en-US"/>
        </w:rPr>
        <w:t xml:space="preserve">. </w:t>
      </w:r>
      <w:r w:rsidR="00DD1F7E">
        <w:rPr>
          <w:rFonts w:eastAsia="Arial Unicode MS"/>
          <w:lang w:val="en-US"/>
        </w:rPr>
        <w:t xml:space="preserve">But </w:t>
      </w:r>
      <w:r w:rsidR="00663B2E">
        <w:rPr>
          <w:rFonts w:eastAsia="Arial Unicode MS"/>
          <w:lang w:val="en-US"/>
        </w:rPr>
        <w:t>a growing</w:t>
      </w:r>
      <w:r w:rsidR="00DD1F7E">
        <w:rPr>
          <w:rFonts w:eastAsia="Arial Unicode MS"/>
          <w:lang w:val="en-US"/>
        </w:rPr>
        <w:t xml:space="preserve"> usage of </w:t>
      </w:r>
      <w:r w:rsidR="009E45D2">
        <w:rPr>
          <w:rFonts w:eastAsia="Arial Unicode MS"/>
          <w:lang w:val="en-US"/>
        </w:rPr>
        <w:t>geospatial data</w:t>
      </w:r>
      <w:r w:rsidR="00DD1F7E">
        <w:rPr>
          <w:rFonts w:eastAsia="Arial Unicode MS"/>
          <w:lang w:val="en-US"/>
        </w:rPr>
        <w:t xml:space="preserve"> from a variety of producers also </w:t>
      </w:r>
      <w:r w:rsidR="002A32BA">
        <w:rPr>
          <w:rFonts w:eastAsia="Arial Unicode MS"/>
          <w:lang w:val="en-US"/>
        </w:rPr>
        <w:t>bring</w:t>
      </w:r>
      <w:r w:rsidR="003B65E9">
        <w:rPr>
          <w:rFonts w:eastAsia="Arial Unicode MS"/>
          <w:lang w:val="en-US"/>
        </w:rPr>
        <w:t>s</w:t>
      </w:r>
      <w:r w:rsidR="002A32BA">
        <w:rPr>
          <w:rFonts w:eastAsia="Arial Unicode MS"/>
          <w:lang w:val="en-US"/>
        </w:rPr>
        <w:t xml:space="preserve"> about challenges. </w:t>
      </w:r>
      <w:r w:rsidR="00663B2E">
        <w:rPr>
          <w:rFonts w:eastAsia="Arial Unicode MS"/>
          <w:lang w:val="en-US"/>
        </w:rPr>
        <w:t xml:space="preserve">As the bulk of data </w:t>
      </w:r>
      <w:r w:rsidR="00706A4C">
        <w:rPr>
          <w:rFonts w:eastAsia="Arial Unicode MS"/>
          <w:lang w:val="en-US"/>
        </w:rPr>
        <w:t xml:space="preserve">from external producers </w:t>
      </w:r>
      <w:r w:rsidR="00D96568">
        <w:rPr>
          <w:rFonts w:eastAsia="Arial Unicode MS"/>
          <w:lang w:val="en-US"/>
        </w:rPr>
        <w:t>in the production process increases</w:t>
      </w:r>
      <w:r w:rsidR="00BC029C">
        <w:rPr>
          <w:rFonts w:eastAsia="Arial Unicode MS"/>
          <w:lang w:val="en-US"/>
        </w:rPr>
        <w:t>,</w:t>
      </w:r>
      <w:r w:rsidR="00D96568">
        <w:rPr>
          <w:rFonts w:eastAsia="Arial Unicode MS"/>
          <w:lang w:val="en-US"/>
        </w:rPr>
        <w:t xml:space="preserve"> the harder it is to overview </w:t>
      </w:r>
      <w:r w:rsidR="00AC2D59">
        <w:rPr>
          <w:rFonts w:eastAsia="Arial Unicode MS"/>
          <w:lang w:val="en-US"/>
        </w:rPr>
        <w:t xml:space="preserve">the quality, </w:t>
      </w:r>
      <w:r w:rsidR="00706A4C">
        <w:rPr>
          <w:rFonts w:eastAsia="Arial Unicode MS"/>
          <w:lang w:val="en-US"/>
        </w:rPr>
        <w:t xml:space="preserve">accuracy </w:t>
      </w:r>
      <w:r w:rsidR="00AC2D59">
        <w:rPr>
          <w:rFonts w:eastAsia="Arial Unicode MS"/>
          <w:lang w:val="en-US"/>
        </w:rPr>
        <w:t xml:space="preserve">and coverage </w:t>
      </w:r>
      <w:r w:rsidR="00706A4C">
        <w:rPr>
          <w:rFonts w:eastAsia="Arial Unicode MS"/>
          <w:lang w:val="en-US"/>
        </w:rPr>
        <w:t xml:space="preserve">of the data sources involved. </w:t>
      </w:r>
      <w:r w:rsidR="00AC2D59">
        <w:rPr>
          <w:rFonts w:eastAsia="Arial Unicode MS"/>
          <w:lang w:val="en-US"/>
        </w:rPr>
        <w:t xml:space="preserve">Usually metadata typically describing “map products” does not satisfy the needs from a </w:t>
      </w:r>
      <w:proofErr w:type="gramStart"/>
      <w:r w:rsidR="00AC2D59">
        <w:rPr>
          <w:rFonts w:eastAsia="Arial Unicode MS"/>
          <w:lang w:val="en-US"/>
        </w:rPr>
        <w:t>statistical  point</w:t>
      </w:r>
      <w:proofErr w:type="gramEnd"/>
      <w:r w:rsidR="00AC2D59">
        <w:rPr>
          <w:rFonts w:eastAsia="Arial Unicode MS"/>
          <w:lang w:val="en-US"/>
        </w:rPr>
        <w:t xml:space="preserve"> of view. </w:t>
      </w:r>
      <w:r w:rsidR="00F60B8E">
        <w:rPr>
          <w:rFonts w:eastAsia="Arial Unicode MS"/>
          <w:lang w:val="en-US"/>
        </w:rPr>
        <w:t xml:space="preserve">This is why it is important to invest time to </w:t>
      </w:r>
      <w:r w:rsidR="00C93832">
        <w:rPr>
          <w:rFonts w:eastAsia="Arial Unicode MS"/>
          <w:lang w:val="en-US"/>
        </w:rPr>
        <w:t xml:space="preserve">get acquainted </w:t>
      </w:r>
      <w:r w:rsidR="00D40414">
        <w:rPr>
          <w:rFonts w:eastAsia="Arial Unicode MS"/>
          <w:lang w:val="en-US"/>
        </w:rPr>
        <w:t xml:space="preserve">with the data producers, to </w:t>
      </w:r>
      <w:r w:rsidR="00544C8C">
        <w:rPr>
          <w:rFonts w:eastAsia="Arial Unicode MS"/>
          <w:lang w:val="en-US"/>
        </w:rPr>
        <w:t xml:space="preserve">understand the underlying </w:t>
      </w:r>
      <w:r w:rsidR="00993A92">
        <w:rPr>
          <w:rFonts w:eastAsia="Arial Unicode MS"/>
          <w:lang w:val="en-US"/>
        </w:rPr>
        <w:t xml:space="preserve">conception of their production as well as </w:t>
      </w:r>
      <w:r w:rsidR="00331211">
        <w:rPr>
          <w:rFonts w:eastAsia="Arial Unicode MS"/>
          <w:lang w:val="en-US"/>
        </w:rPr>
        <w:t xml:space="preserve">the </w:t>
      </w:r>
      <w:r w:rsidR="00993A92">
        <w:rPr>
          <w:rFonts w:eastAsia="Arial Unicode MS"/>
          <w:lang w:val="en-US"/>
        </w:rPr>
        <w:t>history and original purpose</w:t>
      </w:r>
      <w:r w:rsidR="00331211">
        <w:rPr>
          <w:rFonts w:eastAsia="Arial Unicode MS"/>
          <w:lang w:val="en-US"/>
        </w:rPr>
        <w:t xml:space="preserve"> of </w:t>
      </w:r>
      <w:r w:rsidR="00993A92">
        <w:rPr>
          <w:rFonts w:eastAsia="Arial Unicode MS"/>
          <w:lang w:val="en-US"/>
        </w:rPr>
        <w:t>the information</w:t>
      </w:r>
      <w:r w:rsidR="00331211">
        <w:rPr>
          <w:rFonts w:eastAsia="Arial Unicode MS"/>
          <w:lang w:val="en-US"/>
        </w:rPr>
        <w:t>.</w:t>
      </w:r>
      <w:r w:rsidR="00125A01" w:rsidRPr="00125A01">
        <w:rPr>
          <w:rFonts w:eastAsia="Arial Unicode MS"/>
          <w:lang w:val="en-US"/>
        </w:rPr>
        <w:t xml:space="preserve"> </w:t>
      </w:r>
      <w:r w:rsidR="00125A01" w:rsidRPr="00B238D9">
        <w:rPr>
          <w:rFonts w:eastAsia="Arial Unicode MS"/>
          <w:lang w:val="en-US"/>
        </w:rPr>
        <w:t>Recent initiatives within the UN (UN-GGIM) and the EU (</w:t>
      </w:r>
      <w:r w:rsidR="00620B03">
        <w:rPr>
          <w:rFonts w:eastAsia="Arial Unicode MS"/>
          <w:lang w:val="en-US"/>
        </w:rPr>
        <w:t>ESS</w:t>
      </w:r>
      <w:r w:rsidR="00125A01" w:rsidRPr="00B238D9">
        <w:rPr>
          <w:rFonts w:eastAsia="Arial Unicode MS"/>
          <w:lang w:val="en-US"/>
        </w:rPr>
        <w:t>)</w:t>
      </w:r>
      <w:r w:rsidR="0009099B">
        <w:rPr>
          <w:rFonts w:eastAsia="Arial Unicode MS"/>
          <w:lang w:val="en-US"/>
        </w:rPr>
        <w:t>,</w:t>
      </w:r>
      <w:r w:rsidR="00125A01" w:rsidRPr="00B238D9">
        <w:rPr>
          <w:rFonts w:eastAsia="Arial Unicode MS"/>
          <w:lang w:val="en-US"/>
        </w:rPr>
        <w:t xml:space="preserve"> </w:t>
      </w:r>
      <w:r w:rsidR="0009099B">
        <w:rPr>
          <w:rFonts w:eastAsia="Arial Unicode MS"/>
          <w:lang w:val="en-US"/>
        </w:rPr>
        <w:t xml:space="preserve">aiming at a better integration </w:t>
      </w:r>
      <w:r w:rsidR="0009099B">
        <w:rPr>
          <w:rFonts w:eastAsia="Arial Unicode MS"/>
          <w:lang w:val="en-US"/>
        </w:rPr>
        <w:lastRenderedPageBreak/>
        <w:t>between statistics and geospatial data, put an emphasis on the need for</w:t>
      </w:r>
      <w:r w:rsidR="00125A01" w:rsidRPr="00B238D9">
        <w:rPr>
          <w:rFonts w:eastAsia="Arial Unicode MS"/>
          <w:lang w:val="en-US"/>
        </w:rPr>
        <w:t xml:space="preserve"> </w:t>
      </w:r>
      <w:r w:rsidR="0009099B">
        <w:rPr>
          <w:rFonts w:eastAsia="Arial Unicode MS"/>
          <w:lang w:val="en-US"/>
        </w:rPr>
        <w:t xml:space="preserve">a </w:t>
      </w:r>
      <w:r w:rsidR="0009099B" w:rsidRPr="00B238D9">
        <w:rPr>
          <w:rFonts w:eastAsia="Arial Unicode MS"/>
          <w:lang w:val="en-US"/>
        </w:rPr>
        <w:t>closer cooperation between statistical institutes and mapping agencies</w:t>
      </w:r>
      <w:r w:rsidR="0009099B">
        <w:rPr>
          <w:rFonts w:eastAsia="Arial Unicode MS"/>
          <w:lang w:val="en-US"/>
        </w:rPr>
        <w:t xml:space="preserve">. </w:t>
      </w:r>
      <w:r w:rsidR="00F809A8">
        <w:rPr>
          <w:rFonts w:eastAsia="Arial Unicode MS"/>
          <w:lang w:val="en-US"/>
        </w:rPr>
        <w:t xml:space="preserve">This is a necessary step </w:t>
      </w:r>
      <w:r w:rsidR="00620B03">
        <w:rPr>
          <w:rFonts w:eastAsia="Arial Unicode MS"/>
          <w:lang w:val="en-US"/>
        </w:rPr>
        <w:t>towards a mutual understanding between the statistical and mapping communities, but eventually such cooperation must include also other data sharing institutions.</w:t>
      </w:r>
    </w:p>
    <w:p w:rsidR="006A17D3" w:rsidRDefault="006A17D3" w:rsidP="00B238D9">
      <w:pPr>
        <w:jc w:val="both"/>
        <w:rPr>
          <w:rFonts w:eastAsia="Arial Unicode MS"/>
          <w:lang w:val="en-US"/>
        </w:rPr>
      </w:pPr>
    </w:p>
    <w:p w:rsidR="00F8307D" w:rsidRDefault="006A17D3" w:rsidP="00B238D9">
      <w:pPr>
        <w:jc w:val="both"/>
        <w:rPr>
          <w:rFonts w:eastAsia="Arial Unicode MS"/>
          <w:lang w:val="en-US"/>
        </w:rPr>
      </w:pPr>
      <w:r>
        <w:rPr>
          <w:rFonts w:eastAsia="Arial Unicode MS"/>
          <w:lang w:val="en-US"/>
        </w:rPr>
        <w:t xml:space="preserve">Another </w:t>
      </w:r>
      <w:r w:rsidR="005141CA">
        <w:rPr>
          <w:rFonts w:eastAsia="Arial Unicode MS"/>
          <w:lang w:val="en-US"/>
        </w:rPr>
        <w:t xml:space="preserve">challenge has to do with </w:t>
      </w:r>
      <w:r w:rsidR="006808B6">
        <w:rPr>
          <w:rFonts w:eastAsia="Arial Unicode MS"/>
          <w:lang w:val="en-US"/>
        </w:rPr>
        <w:t>the understanding and recognition of the needs</w:t>
      </w:r>
      <w:r w:rsidR="00F8307D">
        <w:rPr>
          <w:rFonts w:eastAsia="Arial Unicode MS"/>
          <w:lang w:val="en-US"/>
        </w:rPr>
        <w:t xml:space="preserve"> </w:t>
      </w:r>
      <w:r w:rsidR="006808B6">
        <w:rPr>
          <w:rFonts w:eastAsia="Arial Unicode MS"/>
          <w:lang w:val="en-US"/>
        </w:rPr>
        <w:t>associated with</w:t>
      </w:r>
      <w:r w:rsidR="00F8307D">
        <w:rPr>
          <w:rFonts w:eastAsia="Arial Unicode MS"/>
          <w:lang w:val="en-US"/>
        </w:rPr>
        <w:t xml:space="preserve"> geospatial activities</w:t>
      </w:r>
      <w:r w:rsidR="00B465A7">
        <w:rPr>
          <w:rFonts w:eastAsia="Arial Unicode MS"/>
          <w:lang w:val="en-US"/>
        </w:rPr>
        <w:t xml:space="preserve"> within the statistical offices</w:t>
      </w:r>
      <w:r w:rsidR="00F8307D">
        <w:rPr>
          <w:rFonts w:eastAsia="Arial Unicode MS"/>
          <w:lang w:val="en-US"/>
        </w:rPr>
        <w:t xml:space="preserve">. </w:t>
      </w:r>
      <w:r w:rsidR="00E5478C">
        <w:rPr>
          <w:rFonts w:eastAsia="Arial Unicode MS"/>
          <w:lang w:val="en-US"/>
        </w:rPr>
        <w:t xml:space="preserve">Geospatial processing typically </w:t>
      </w:r>
      <w:r w:rsidR="00E5478C" w:rsidRPr="00B238D9">
        <w:rPr>
          <w:rFonts w:eastAsia="Arial Unicode MS"/>
          <w:lang w:val="en-US"/>
        </w:rPr>
        <w:t>demand</w:t>
      </w:r>
      <w:r w:rsidR="006808B6">
        <w:rPr>
          <w:rFonts w:eastAsia="Arial Unicode MS"/>
          <w:lang w:val="en-US"/>
        </w:rPr>
        <w:t>s</w:t>
      </w:r>
      <w:r w:rsidR="00E5478C" w:rsidRPr="00B238D9">
        <w:rPr>
          <w:rFonts w:eastAsia="Arial Unicode MS"/>
          <w:lang w:val="en-US"/>
        </w:rPr>
        <w:t xml:space="preserve"> </w:t>
      </w:r>
      <w:r w:rsidR="00E5478C">
        <w:rPr>
          <w:rFonts w:eastAsia="Arial Unicode MS"/>
          <w:lang w:val="en-US"/>
        </w:rPr>
        <w:t xml:space="preserve">a </w:t>
      </w:r>
      <w:r w:rsidR="00E5478C" w:rsidRPr="00B238D9">
        <w:rPr>
          <w:rFonts w:eastAsia="Arial Unicode MS"/>
          <w:lang w:val="en-US"/>
        </w:rPr>
        <w:t xml:space="preserve">technical </w:t>
      </w:r>
      <w:r w:rsidR="00A17A4E">
        <w:rPr>
          <w:rFonts w:eastAsia="Arial Unicode MS"/>
          <w:lang w:val="en-US"/>
        </w:rPr>
        <w:t xml:space="preserve">environment </w:t>
      </w:r>
      <w:r w:rsidR="00E5478C">
        <w:rPr>
          <w:rFonts w:eastAsia="Arial Unicode MS"/>
          <w:lang w:val="en-US"/>
        </w:rPr>
        <w:t>beyond the standard</w:t>
      </w:r>
      <w:r w:rsidR="000040BB">
        <w:rPr>
          <w:rFonts w:eastAsia="Arial Unicode MS"/>
          <w:lang w:val="en-US"/>
        </w:rPr>
        <w:t xml:space="preserve">s </w:t>
      </w:r>
      <w:r w:rsidR="00E5478C">
        <w:rPr>
          <w:rFonts w:eastAsia="Arial Unicode MS"/>
          <w:lang w:val="en-US"/>
        </w:rPr>
        <w:t xml:space="preserve">of </w:t>
      </w:r>
      <w:r w:rsidR="00713873">
        <w:rPr>
          <w:rFonts w:eastAsia="Arial Unicode MS"/>
          <w:lang w:val="en-US"/>
        </w:rPr>
        <w:t>many</w:t>
      </w:r>
      <w:r w:rsidR="00E5478C">
        <w:rPr>
          <w:rFonts w:eastAsia="Arial Unicode MS"/>
          <w:lang w:val="en-US"/>
        </w:rPr>
        <w:t xml:space="preserve"> statistical office</w:t>
      </w:r>
      <w:r w:rsidR="00713873">
        <w:rPr>
          <w:rFonts w:eastAsia="Arial Unicode MS"/>
          <w:lang w:val="en-US"/>
        </w:rPr>
        <w:t>s in terms of software, hardware and storage</w:t>
      </w:r>
      <w:r w:rsidR="00246B2A">
        <w:rPr>
          <w:rFonts w:eastAsia="Arial Unicode MS"/>
          <w:lang w:val="en-US"/>
        </w:rPr>
        <w:t xml:space="preserve"> but also in terms of competence</w:t>
      </w:r>
      <w:r w:rsidR="003B65E9">
        <w:rPr>
          <w:rFonts w:eastAsia="Arial Unicode MS"/>
          <w:lang w:val="en-US"/>
        </w:rPr>
        <w:t xml:space="preserve">. </w:t>
      </w:r>
      <w:r w:rsidR="00E72C52">
        <w:rPr>
          <w:rFonts w:eastAsia="Arial Unicode MS"/>
          <w:lang w:val="en-US"/>
        </w:rPr>
        <w:t xml:space="preserve">If there </w:t>
      </w:r>
      <w:proofErr w:type="gramStart"/>
      <w:r w:rsidR="00E72C52">
        <w:rPr>
          <w:rFonts w:eastAsia="Arial Unicode MS"/>
          <w:lang w:val="en-US"/>
        </w:rPr>
        <w:t xml:space="preserve">is </w:t>
      </w:r>
      <w:r w:rsidR="00CD7BA8">
        <w:rPr>
          <w:rFonts w:eastAsia="Arial Unicode MS"/>
          <w:lang w:val="en-US"/>
        </w:rPr>
        <w:t>little</w:t>
      </w:r>
      <w:r w:rsidR="00246B2A">
        <w:rPr>
          <w:rFonts w:eastAsia="Arial Unicode MS"/>
          <w:lang w:val="en-US"/>
        </w:rPr>
        <w:t xml:space="preserve"> understanding</w:t>
      </w:r>
      <w:proofErr w:type="gramEnd"/>
      <w:r w:rsidR="00246B2A">
        <w:rPr>
          <w:rFonts w:eastAsia="Arial Unicode MS"/>
          <w:lang w:val="en-US"/>
        </w:rPr>
        <w:t xml:space="preserve"> </w:t>
      </w:r>
      <w:r w:rsidR="00CD7BA8">
        <w:rPr>
          <w:rFonts w:eastAsia="Arial Unicode MS"/>
          <w:lang w:val="en-US"/>
        </w:rPr>
        <w:t>regarding</w:t>
      </w:r>
      <w:r w:rsidR="00246B2A">
        <w:rPr>
          <w:rFonts w:eastAsia="Arial Unicode MS"/>
          <w:lang w:val="en-US"/>
        </w:rPr>
        <w:t xml:space="preserve"> these </w:t>
      </w:r>
      <w:r w:rsidR="000040BB">
        <w:rPr>
          <w:rFonts w:eastAsia="Arial Unicode MS"/>
          <w:lang w:val="en-US"/>
        </w:rPr>
        <w:t xml:space="preserve">special </w:t>
      </w:r>
      <w:r w:rsidR="00EB175C">
        <w:rPr>
          <w:rFonts w:eastAsia="Arial Unicode MS"/>
          <w:lang w:val="en-US"/>
        </w:rPr>
        <w:t xml:space="preserve">needs, the </w:t>
      </w:r>
      <w:r w:rsidR="001665E7" w:rsidRPr="001665E7">
        <w:rPr>
          <w:rFonts w:eastAsia="Arial Unicode MS"/>
          <w:lang w:val="en-US"/>
        </w:rPr>
        <w:t>prospect</w:t>
      </w:r>
      <w:r w:rsidR="00EB175C">
        <w:rPr>
          <w:rFonts w:eastAsia="Arial Unicode MS"/>
          <w:lang w:val="en-US"/>
        </w:rPr>
        <w:t>s</w:t>
      </w:r>
      <w:r w:rsidR="001665E7" w:rsidRPr="001665E7">
        <w:rPr>
          <w:rFonts w:eastAsia="Arial Unicode MS"/>
          <w:lang w:val="en-US"/>
        </w:rPr>
        <w:t xml:space="preserve"> of </w:t>
      </w:r>
      <w:r w:rsidR="00EB175C">
        <w:rPr>
          <w:rFonts w:eastAsia="Arial Unicode MS"/>
          <w:lang w:val="en-US"/>
        </w:rPr>
        <w:t xml:space="preserve">a </w:t>
      </w:r>
      <w:r w:rsidR="001665E7" w:rsidRPr="001665E7">
        <w:rPr>
          <w:rFonts w:eastAsia="Arial Unicode MS"/>
          <w:lang w:val="en-US"/>
        </w:rPr>
        <w:t>success</w:t>
      </w:r>
      <w:r w:rsidR="001665E7">
        <w:rPr>
          <w:rFonts w:eastAsia="Arial Unicode MS"/>
          <w:lang w:val="en-US"/>
        </w:rPr>
        <w:t xml:space="preserve">ful </w:t>
      </w:r>
      <w:r w:rsidR="007C1629">
        <w:rPr>
          <w:rFonts w:eastAsia="Arial Unicode MS"/>
          <w:lang w:val="en-US"/>
        </w:rPr>
        <w:t xml:space="preserve">integration of geospatial activities in the production </w:t>
      </w:r>
      <w:r w:rsidR="00027D49">
        <w:rPr>
          <w:rFonts w:eastAsia="Arial Unicode MS"/>
          <w:lang w:val="en-US"/>
        </w:rPr>
        <w:t xml:space="preserve">chain </w:t>
      </w:r>
      <w:r w:rsidR="007C1629">
        <w:rPr>
          <w:rFonts w:eastAsia="Arial Unicode MS"/>
          <w:lang w:val="en-US"/>
        </w:rPr>
        <w:t>is low.</w:t>
      </w:r>
    </w:p>
    <w:p w:rsidR="00AC1F03" w:rsidRPr="00AC1F03" w:rsidRDefault="00AC1F03" w:rsidP="003040D6">
      <w:pPr>
        <w:jc w:val="both"/>
        <w:rPr>
          <w:lang w:val="en-GB"/>
        </w:rPr>
      </w:pPr>
    </w:p>
    <w:p w:rsidR="00AC1F03" w:rsidRDefault="007373D3" w:rsidP="003040D6">
      <w:pPr>
        <w:keepNext/>
        <w:keepLines/>
        <w:spacing w:before="120" w:after="180"/>
        <w:jc w:val="both"/>
        <w:outlineLvl w:val="1"/>
        <w:rPr>
          <w:rFonts w:eastAsia="Arial Unicode MS"/>
          <w:b/>
          <w:lang w:val="en-GB"/>
        </w:rPr>
      </w:pPr>
      <w:r>
        <w:rPr>
          <w:rFonts w:eastAsia="Arial Unicode MS"/>
          <w:b/>
          <w:lang w:val="en-GB"/>
        </w:rPr>
        <w:t xml:space="preserve">6 </w:t>
      </w:r>
      <w:bookmarkStart w:id="0" w:name="_GoBack"/>
      <w:bookmarkEnd w:id="0"/>
      <w:r w:rsidR="00AC1F03" w:rsidRPr="00AC1F03">
        <w:rPr>
          <w:rFonts w:eastAsia="Arial Unicode MS"/>
          <w:b/>
          <w:lang w:val="en-GB"/>
        </w:rPr>
        <w:t>References</w:t>
      </w:r>
    </w:p>
    <w:p w:rsidR="00551021" w:rsidRPr="00551021" w:rsidRDefault="00F11207" w:rsidP="00551021">
      <w:pPr>
        <w:jc w:val="both"/>
        <w:rPr>
          <w:rFonts w:eastAsia="Arial Unicode MS"/>
          <w:lang w:val="en-US"/>
        </w:rPr>
      </w:pPr>
      <w:r>
        <w:rPr>
          <w:rFonts w:eastAsia="Arial Unicode MS"/>
          <w:lang w:val="en-US"/>
        </w:rPr>
        <w:t>[1</w:t>
      </w:r>
      <w:r w:rsidR="00551021" w:rsidRPr="00551021">
        <w:rPr>
          <w:rFonts w:eastAsia="Arial Unicode MS"/>
          <w:lang w:val="en-US"/>
        </w:rPr>
        <w:t xml:space="preserve">] </w:t>
      </w:r>
      <w:proofErr w:type="spellStart"/>
      <w:r w:rsidR="00551021" w:rsidRPr="00551021">
        <w:rPr>
          <w:rFonts w:eastAsia="Arial Unicode MS"/>
          <w:lang w:val="en-US"/>
        </w:rPr>
        <w:t>Sandgren</w:t>
      </w:r>
      <w:proofErr w:type="spellEnd"/>
      <w:r w:rsidR="00551021" w:rsidRPr="00551021">
        <w:rPr>
          <w:rFonts w:eastAsia="Arial Unicode MS"/>
          <w:lang w:val="en-US"/>
        </w:rPr>
        <w:t xml:space="preserve"> U. (2011) Swedish Spatial Data Infrastructure - An efficient network of information resources accessible via the Internet, Serbian geodetic conference 2011</w:t>
      </w:r>
    </w:p>
    <w:p w:rsidR="00551021" w:rsidRPr="00551021" w:rsidRDefault="00551021" w:rsidP="00551021">
      <w:pPr>
        <w:jc w:val="both"/>
        <w:rPr>
          <w:rFonts w:eastAsia="Arial Unicode MS"/>
          <w:lang w:val="en-US"/>
        </w:rPr>
      </w:pPr>
    </w:p>
    <w:p w:rsidR="00551021" w:rsidRDefault="007A2C7E" w:rsidP="00551021">
      <w:pPr>
        <w:jc w:val="both"/>
        <w:rPr>
          <w:rFonts w:eastAsia="Arial Unicode MS"/>
          <w:lang w:val="en-US"/>
        </w:rPr>
      </w:pPr>
      <w:r>
        <w:rPr>
          <w:rFonts w:eastAsia="Arial Unicode MS"/>
          <w:lang w:val="en-US"/>
        </w:rPr>
        <w:t>[2</w:t>
      </w:r>
      <w:r w:rsidR="00551021" w:rsidRPr="00551021">
        <w:rPr>
          <w:rFonts w:eastAsia="Arial Unicode MS"/>
          <w:lang w:val="en-US"/>
        </w:rPr>
        <w:t xml:space="preserve">] Information from the Swedish </w:t>
      </w:r>
      <w:proofErr w:type="spellStart"/>
      <w:r w:rsidR="00551021" w:rsidRPr="00551021">
        <w:rPr>
          <w:rFonts w:eastAsia="Arial Unicode MS"/>
          <w:lang w:val="en-US"/>
        </w:rPr>
        <w:t>geoportal</w:t>
      </w:r>
      <w:proofErr w:type="spellEnd"/>
      <w:r w:rsidR="00551021" w:rsidRPr="00551021">
        <w:rPr>
          <w:rFonts w:eastAsia="Arial Unicode MS"/>
          <w:lang w:val="en-US"/>
        </w:rPr>
        <w:t xml:space="preserve">: http://www.geodata.se/en/ </w:t>
      </w:r>
    </w:p>
    <w:p w:rsidR="007A2C7E" w:rsidRDefault="007A2C7E" w:rsidP="00551021">
      <w:pPr>
        <w:jc w:val="both"/>
        <w:rPr>
          <w:rFonts w:eastAsia="Arial Unicode MS"/>
          <w:lang w:val="en-US"/>
        </w:rPr>
      </w:pPr>
    </w:p>
    <w:p w:rsidR="007A2C7E" w:rsidRDefault="007A2C7E" w:rsidP="00551021">
      <w:pPr>
        <w:jc w:val="both"/>
        <w:rPr>
          <w:rFonts w:eastAsia="Arial Unicode MS"/>
          <w:lang w:val="en-US"/>
        </w:rPr>
      </w:pPr>
      <w:r>
        <w:rPr>
          <w:rFonts w:eastAsia="Arial Unicode MS"/>
          <w:lang w:val="en-US"/>
        </w:rPr>
        <w:t xml:space="preserve">[3] Official land use statistics products at Statistics Sweden: </w:t>
      </w:r>
    </w:p>
    <w:p w:rsidR="007A2C7E" w:rsidRPr="00551021" w:rsidRDefault="007A2C7E" w:rsidP="00551021">
      <w:pPr>
        <w:jc w:val="both"/>
        <w:rPr>
          <w:rFonts w:eastAsia="Arial Unicode MS"/>
          <w:lang w:val="en-US"/>
        </w:rPr>
      </w:pPr>
      <w:r w:rsidRPr="007A2C7E">
        <w:rPr>
          <w:rFonts w:eastAsia="Arial Unicode MS"/>
          <w:lang w:val="en-US"/>
        </w:rPr>
        <w:t>http://www.scb.se/en_/Finding-statistics/Statistics-by-subject-area/Environment/</w:t>
      </w:r>
    </w:p>
    <w:p w:rsidR="00551021" w:rsidRDefault="00551021" w:rsidP="00551021">
      <w:pPr>
        <w:jc w:val="both"/>
        <w:rPr>
          <w:rFonts w:eastAsia="Arial Unicode MS"/>
          <w:lang w:val="en-US"/>
        </w:rPr>
      </w:pPr>
    </w:p>
    <w:p w:rsidR="00B32E40" w:rsidRPr="00B32E40" w:rsidRDefault="00B32E40" w:rsidP="00551021">
      <w:pPr>
        <w:jc w:val="both"/>
        <w:rPr>
          <w:rFonts w:eastAsia="Arial Unicode MS"/>
          <w:lang w:val="en-US"/>
        </w:rPr>
      </w:pPr>
      <w:r>
        <w:rPr>
          <w:rFonts w:eastAsia="Arial Unicode MS"/>
          <w:lang w:val="en-US"/>
        </w:rPr>
        <w:t xml:space="preserve">[4] Land Use in Sweden 2005 and 2010: </w:t>
      </w:r>
      <w:r w:rsidRPr="00B32E40">
        <w:rPr>
          <w:rFonts w:eastAsia="Arial Unicode MS"/>
          <w:lang w:val="en-US"/>
        </w:rPr>
        <w:t>http://www.scb.se/mi0803-en</w:t>
      </w:r>
    </w:p>
    <w:p w:rsidR="00551021" w:rsidRPr="00551021" w:rsidRDefault="00551021" w:rsidP="00551021">
      <w:pPr>
        <w:jc w:val="both"/>
        <w:rPr>
          <w:rFonts w:eastAsia="Arial Unicode MS"/>
          <w:lang w:val="en-US"/>
        </w:rPr>
      </w:pPr>
    </w:p>
    <w:p w:rsidR="00551021" w:rsidRPr="00551021" w:rsidRDefault="00551021" w:rsidP="00551021">
      <w:pPr>
        <w:jc w:val="both"/>
        <w:rPr>
          <w:rFonts w:eastAsia="Arial Unicode MS"/>
          <w:lang w:val="en-US"/>
        </w:rPr>
      </w:pPr>
      <w:r w:rsidRPr="00551021">
        <w:rPr>
          <w:rFonts w:eastAsia="Arial Unicode MS"/>
          <w:lang w:val="en-US"/>
        </w:rPr>
        <w:t>[5] Statistics Sweden (2012), Statistical report on Land and water areas 1 January 2012, MI65</w:t>
      </w:r>
    </w:p>
    <w:p w:rsidR="002963D4" w:rsidRDefault="002963D4" w:rsidP="002963D4">
      <w:pPr>
        <w:jc w:val="both"/>
        <w:rPr>
          <w:rFonts w:eastAsia="Arial Unicode MS"/>
          <w:lang w:val="en-US"/>
        </w:rPr>
      </w:pPr>
    </w:p>
    <w:p w:rsidR="002963D4" w:rsidRPr="00551021" w:rsidRDefault="002963D4" w:rsidP="002963D4">
      <w:pPr>
        <w:rPr>
          <w:rFonts w:eastAsia="Arial Unicode MS"/>
          <w:lang w:val="en-US"/>
        </w:rPr>
      </w:pPr>
      <w:r>
        <w:rPr>
          <w:rFonts w:eastAsia="Arial Unicode MS"/>
          <w:lang w:val="en-US"/>
        </w:rPr>
        <w:t>[6</w:t>
      </w:r>
      <w:r w:rsidRPr="00551021">
        <w:rPr>
          <w:rFonts w:eastAsia="Arial Unicode MS"/>
          <w:lang w:val="en-US"/>
        </w:rPr>
        <w:t xml:space="preserve">] </w:t>
      </w:r>
      <w:hyperlink r:id="rId11" w:history="1">
        <w:r w:rsidRPr="00551021">
          <w:rPr>
            <w:rFonts w:eastAsia="Arial Unicode MS"/>
            <w:lang w:val="en-US"/>
          </w:rPr>
          <w:t>https://e-justice.europa.eu/content_land_registers_in_member_states-109-se-en.do?member=1</w:t>
        </w:r>
      </w:hyperlink>
      <w:r w:rsidRPr="00551021">
        <w:rPr>
          <w:rFonts w:eastAsia="Arial Unicode MS"/>
          <w:lang w:val="en-US"/>
        </w:rPr>
        <w:t xml:space="preserve"> </w:t>
      </w:r>
    </w:p>
    <w:p w:rsidR="002963D4" w:rsidRDefault="002963D4" w:rsidP="002963D4">
      <w:pPr>
        <w:jc w:val="both"/>
        <w:rPr>
          <w:rFonts w:eastAsia="Arial Unicode MS"/>
          <w:lang w:val="en-US"/>
        </w:rPr>
      </w:pPr>
    </w:p>
    <w:p w:rsidR="002963D4" w:rsidRPr="00551021" w:rsidRDefault="002963D4" w:rsidP="002963D4">
      <w:pPr>
        <w:jc w:val="both"/>
        <w:rPr>
          <w:rFonts w:eastAsia="Arial Unicode MS"/>
          <w:lang w:val="en-US"/>
        </w:rPr>
      </w:pPr>
      <w:r>
        <w:rPr>
          <w:rFonts w:eastAsia="Arial Unicode MS"/>
          <w:lang w:val="en-US"/>
        </w:rPr>
        <w:t>[7</w:t>
      </w:r>
      <w:r w:rsidRPr="00551021">
        <w:rPr>
          <w:rFonts w:eastAsia="Arial Unicode MS"/>
          <w:lang w:val="en-US"/>
        </w:rPr>
        <w:t xml:space="preserve">] Statistics Sweden (2012), Statistical report on Localities 2010: Buildings and Urban Structures, MI38 </w:t>
      </w:r>
    </w:p>
    <w:p w:rsidR="00551021" w:rsidRDefault="00551021" w:rsidP="00551021">
      <w:pPr>
        <w:jc w:val="both"/>
        <w:rPr>
          <w:rFonts w:eastAsia="Arial Unicode MS"/>
          <w:lang w:val="en-US"/>
        </w:rPr>
      </w:pPr>
    </w:p>
    <w:p w:rsidR="002963D4" w:rsidRPr="00797185" w:rsidRDefault="002963D4" w:rsidP="00797185">
      <w:pPr>
        <w:jc w:val="both"/>
        <w:rPr>
          <w:rFonts w:eastAsia="Arial Unicode MS"/>
        </w:rPr>
      </w:pPr>
      <w:r w:rsidRPr="00797185">
        <w:rPr>
          <w:rFonts w:eastAsia="Arial Unicode MS"/>
        </w:rPr>
        <w:lastRenderedPageBreak/>
        <w:t xml:space="preserve">[8] </w:t>
      </w:r>
      <w:r w:rsidR="00797185" w:rsidRPr="00797185">
        <w:rPr>
          <w:rFonts w:eastAsia="Arial Unicode MS"/>
        </w:rPr>
        <w:t xml:space="preserve">Kamp S. 2013. </w:t>
      </w:r>
      <w:r w:rsidR="00797185" w:rsidRPr="00797185">
        <w:rPr>
          <w:rFonts w:eastAsia="Arial Unicode MS"/>
        </w:rPr>
        <w:t>Sveriges potential för elproduktion</w:t>
      </w:r>
      <w:r w:rsidR="00797185">
        <w:rPr>
          <w:rFonts w:eastAsia="Arial Unicode MS"/>
        </w:rPr>
        <w:t xml:space="preserve"> </w:t>
      </w:r>
      <w:r w:rsidR="00797185" w:rsidRPr="00797185">
        <w:rPr>
          <w:rFonts w:eastAsia="Arial Unicode MS"/>
        </w:rPr>
        <w:t>från takmonterade solceller</w:t>
      </w:r>
      <w:r w:rsidR="00797185">
        <w:rPr>
          <w:rFonts w:eastAsia="Arial Unicode MS"/>
        </w:rPr>
        <w:t xml:space="preserve">. </w:t>
      </w:r>
      <w:r w:rsidR="00797185" w:rsidRPr="00797185">
        <w:rPr>
          <w:rFonts w:eastAsia="Arial Unicode MS"/>
        </w:rPr>
        <w:t>Teoretisk, teknisk och ekonomisk analys</w:t>
      </w:r>
      <w:r w:rsidR="00797185">
        <w:rPr>
          <w:rFonts w:eastAsia="Arial Unicode MS"/>
        </w:rPr>
        <w:t xml:space="preserve">. Uppsala </w:t>
      </w:r>
      <w:proofErr w:type="spellStart"/>
      <w:r w:rsidR="00797185">
        <w:rPr>
          <w:rFonts w:eastAsia="Arial Unicode MS"/>
        </w:rPr>
        <w:t>university</w:t>
      </w:r>
      <w:proofErr w:type="spellEnd"/>
      <w:r w:rsidR="00797185">
        <w:rPr>
          <w:rFonts w:eastAsia="Arial Unicode MS"/>
        </w:rPr>
        <w:t>.</w:t>
      </w:r>
    </w:p>
    <w:p w:rsidR="002963D4" w:rsidRPr="00797185" w:rsidRDefault="002963D4" w:rsidP="00551021">
      <w:pPr>
        <w:jc w:val="both"/>
        <w:rPr>
          <w:rFonts w:eastAsia="Arial Unicode MS"/>
        </w:rPr>
      </w:pPr>
    </w:p>
    <w:p w:rsidR="00551021" w:rsidRPr="00551021" w:rsidRDefault="00551021" w:rsidP="00551021">
      <w:pPr>
        <w:jc w:val="both"/>
        <w:rPr>
          <w:rFonts w:eastAsia="Arial Unicode MS"/>
          <w:lang w:val="en-US"/>
        </w:rPr>
      </w:pPr>
      <w:r w:rsidRPr="00551021">
        <w:rPr>
          <w:rFonts w:eastAsia="Arial Unicode MS"/>
          <w:lang w:val="en-US"/>
        </w:rPr>
        <w:t>Haldorson M. (2012) Quality benefits from a spatial data infrastructure, Q2012 conference in Athens 2012</w:t>
      </w:r>
    </w:p>
    <w:p w:rsidR="00551021" w:rsidRPr="00551021" w:rsidRDefault="00551021" w:rsidP="00551021">
      <w:pPr>
        <w:jc w:val="both"/>
        <w:rPr>
          <w:rFonts w:eastAsia="Arial Unicode MS"/>
          <w:lang w:val="en-US"/>
        </w:rPr>
      </w:pPr>
    </w:p>
    <w:p w:rsidR="00551021" w:rsidRPr="00551021" w:rsidRDefault="00551021" w:rsidP="00551021">
      <w:pPr>
        <w:jc w:val="both"/>
        <w:rPr>
          <w:rFonts w:eastAsia="Arial Unicode MS"/>
          <w:lang w:val="en-US"/>
        </w:rPr>
      </w:pPr>
      <w:r w:rsidRPr="00551021">
        <w:rPr>
          <w:rFonts w:eastAsia="Arial Unicode MS"/>
          <w:lang w:val="en-US"/>
        </w:rPr>
        <w:t>Haldorson M. (2012) Implementing INSPIRE at Statistics Sweden and benefits from the INSPIRE data sharing, INSPIRE conference in Istanbul 2012</w:t>
      </w:r>
    </w:p>
    <w:p w:rsidR="00551021" w:rsidRPr="00551021" w:rsidRDefault="00551021" w:rsidP="00551021">
      <w:pPr>
        <w:jc w:val="both"/>
        <w:rPr>
          <w:rFonts w:eastAsia="Arial Unicode MS"/>
          <w:lang w:val="en-US"/>
        </w:rPr>
      </w:pPr>
    </w:p>
    <w:p w:rsidR="00551021" w:rsidRPr="00551021" w:rsidRDefault="00551021" w:rsidP="00551021">
      <w:pPr>
        <w:jc w:val="both"/>
        <w:rPr>
          <w:rFonts w:eastAsia="Arial Unicode MS"/>
          <w:lang w:val="en-US"/>
        </w:rPr>
      </w:pPr>
      <w:r w:rsidRPr="00551021">
        <w:rPr>
          <w:rFonts w:eastAsia="Arial Unicode MS"/>
          <w:lang w:val="en-US"/>
        </w:rPr>
        <w:t>Haldorson M. (2012) Benefits from data sharing - increased use of geospatial information in the statistical production process, DGINS conference in Prague 2012</w:t>
      </w:r>
    </w:p>
    <w:p w:rsidR="00551021" w:rsidRPr="00551021" w:rsidRDefault="00551021" w:rsidP="00551021">
      <w:pPr>
        <w:jc w:val="both"/>
        <w:rPr>
          <w:rFonts w:eastAsia="Arial Unicode MS"/>
          <w:lang w:val="en-US"/>
        </w:rPr>
      </w:pPr>
    </w:p>
    <w:sectPr w:rsidR="00551021" w:rsidRPr="00551021" w:rsidSect="00AC1F03">
      <w:pgSz w:w="11952" w:h="16848"/>
      <w:pgMar w:top="1276" w:right="1746" w:bottom="1135" w:left="1843" w:header="432" w:footer="432"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F14" w:rsidRDefault="009E1F14">
      <w:r>
        <w:separator/>
      </w:r>
    </w:p>
  </w:endnote>
  <w:endnote w:type="continuationSeparator" w:id="0">
    <w:p w:rsidR="009E1F14" w:rsidRDefault="009E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F14" w:rsidRDefault="009E1F14">
      <w:r>
        <w:separator/>
      </w:r>
    </w:p>
  </w:footnote>
  <w:footnote w:type="continuationSeparator" w:id="0">
    <w:p w:rsidR="009E1F14" w:rsidRDefault="009E1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254"/>
    <w:multiLevelType w:val="hybridMultilevel"/>
    <w:tmpl w:val="2B5487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02C76F2"/>
    <w:multiLevelType w:val="hybridMultilevel"/>
    <w:tmpl w:val="F1B8C6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45729D0"/>
    <w:multiLevelType w:val="hybridMultilevel"/>
    <w:tmpl w:val="2F5A0BF6"/>
    <w:lvl w:ilvl="0" w:tplc="5F607516">
      <w:start w:val="1"/>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DB14790"/>
    <w:multiLevelType w:val="hybridMultilevel"/>
    <w:tmpl w:val="546AD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5B"/>
    <w:rsid w:val="00001FBD"/>
    <w:rsid w:val="000040BB"/>
    <w:rsid w:val="00005214"/>
    <w:rsid w:val="00027D49"/>
    <w:rsid w:val="00042055"/>
    <w:rsid w:val="0005124E"/>
    <w:rsid w:val="00056F00"/>
    <w:rsid w:val="00072E91"/>
    <w:rsid w:val="0009099B"/>
    <w:rsid w:val="00097462"/>
    <w:rsid w:val="000A72DF"/>
    <w:rsid w:val="000B7AF0"/>
    <w:rsid w:val="000C2691"/>
    <w:rsid w:val="000E792B"/>
    <w:rsid w:val="00120D29"/>
    <w:rsid w:val="00125A01"/>
    <w:rsid w:val="0015602A"/>
    <w:rsid w:val="001665E7"/>
    <w:rsid w:val="001D1B26"/>
    <w:rsid w:val="001D2D26"/>
    <w:rsid w:val="0021040F"/>
    <w:rsid w:val="002151B0"/>
    <w:rsid w:val="002379C3"/>
    <w:rsid w:val="00246B2A"/>
    <w:rsid w:val="00253988"/>
    <w:rsid w:val="00281723"/>
    <w:rsid w:val="002963D4"/>
    <w:rsid w:val="0029739A"/>
    <w:rsid w:val="002A0CAC"/>
    <w:rsid w:val="002A0D63"/>
    <w:rsid w:val="002A32BA"/>
    <w:rsid w:val="002B3BC3"/>
    <w:rsid w:val="002B441D"/>
    <w:rsid w:val="002F489D"/>
    <w:rsid w:val="00303FD1"/>
    <w:rsid w:val="003040D6"/>
    <w:rsid w:val="00331211"/>
    <w:rsid w:val="00335C66"/>
    <w:rsid w:val="003520F3"/>
    <w:rsid w:val="0037408A"/>
    <w:rsid w:val="003B5D08"/>
    <w:rsid w:val="003B65E9"/>
    <w:rsid w:val="003C55F9"/>
    <w:rsid w:val="00463887"/>
    <w:rsid w:val="00473994"/>
    <w:rsid w:val="004835E6"/>
    <w:rsid w:val="004845C6"/>
    <w:rsid w:val="004E3182"/>
    <w:rsid w:val="004F1088"/>
    <w:rsid w:val="00506D75"/>
    <w:rsid w:val="005141CA"/>
    <w:rsid w:val="00532AD1"/>
    <w:rsid w:val="00544C8C"/>
    <w:rsid w:val="00551021"/>
    <w:rsid w:val="00557ADD"/>
    <w:rsid w:val="005B3B08"/>
    <w:rsid w:val="005F75EA"/>
    <w:rsid w:val="006060F0"/>
    <w:rsid w:val="00620B03"/>
    <w:rsid w:val="00663B2E"/>
    <w:rsid w:val="00672173"/>
    <w:rsid w:val="00677462"/>
    <w:rsid w:val="006808B6"/>
    <w:rsid w:val="006A17D3"/>
    <w:rsid w:val="006C34D5"/>
    <w:rsid w:val="006D4F58"/>
    <w:rsid w:val="006E6AA4"/>
    <w:rsid w:val="006F4AD9"/>
    <w:rsid w:val="00706A4C"/>
    <w:rsid w:val="00713873"/>
    <w:rsid w:val="00716F10"/>
    <w:rsid w:val="00734C5D"/>
    <w:rsid w:val="007373D3"/>
    <w:rsid w:val="00757EFD"/>
    <w:rsid w:val="007606EE"/>
    <w:rsid w:val="00762C81"/>
    <w:rsid w:val="00767A88"/>
    <w:rsid w:val="00775B3F"/>
    <w:rsid w:val="00797185"/>
    <w:rsid w:val="007A2C7E"/>
    <w:rsid w:val="007C1629"/>
    <w:rsid w:val="008C26BA"/>
    <w:rsid w:val="008E206E"/>
    <w:rsid w:val="008F3D25"/>
    <w:rsid w:val="00901754"/>
    <w:rsid w:val="00912705"/>
    <w:rsid w:val="00925FD4"/>
    <w:rsid w:val="00934227"/>
    <w:rsid w:val="00967309"/>
    <w:rsid w:val="00980007"/>
    <w:rsid w:val="00993A92"/>
    <w:rsid w:val="009E1F14"/>
    <w:rsid w:val="009E45D2"/>
    <w:rsid w:val="00A06188"/>
    <w:rsid w:val="00A17A4E"/>
    <w:rsid w:val="00A62DA3"/>
    <w:rsid w:val="00A72886"/>
    <w:rsid w:val="00A9383F"/>
    <w:rsid w:val="00A9706E"/>
    <w:rsid w:val="00AA0B6C"/>
    <w:rsid w:val="00AA797C"/>
    <w:rsid w:val="00AC1F03"/>
    <w:rsid w:val="00AC2D59"/>
    <w:rsid w:val="00AC4429"/>
    <w:rsid w:val="00AD4FAA"/>
    <w:rsid w:val="00B11FF7"/>
    <w:rsid w:val="00B238D9"/>
    <w:rsid w:val="00B32E40"/>
    <w:rsid w:val="00B465A7"/>
    <w:rsid w:val="00B57B99"/>
    <w:rsid w:val="00B65194"/>
    <w:rsid w:val="00B677C0"/>
    <w:rsid w:val="00B71FF7"/>
    <w:rsid w:val="00BC029C"/>
    <w:rsid w:val="00BD763E"/>
    <w:rsid w:val="00C2448D"/>
    <w:rsid w:val="00C807E7"/>
    <w:rsid w:val="00C82204"/>
    <w:rsid w:val="00C91EC1"/>
    <w:rsid w:val="00C93832"/>
    <w:rsid w:val="00CC2FFB"/>
    <w:rsid w:val="00CD64B9"/>
    <w:rsid w:val="00CD6F6D"/>
    <w:rsid w:val="00CD7BA8"/>
    <w:rsid w:val="00D21596"/>
    <w:rsid w:val="00D3165B"/>
    <w:rsid w:val="00D3566B"/>
    <w:rsid w:val="00D40414"/>
    <w:rsid w:val="00D40BFB"/>
    <w:rsid w:val="00D71301"/>
    <w:rsid w:val="00D96568"/>
    <w:rsid w:val="00DD1F7E"/>
    <w:rsid w:val="00DF670A"/>
    <w:rsid w:val="00E142F4"/>
    <w:rsid w:val="00E5478C"/>
    <w:rsid w:val="00E72C52"/>
    <w:rsid w:val="00E875EF"/>
    <w:rsid w:val="00EA6C52"/>
    <w:rsid w:val="00EB175C"/>
    <w:rsid w:val="00EC1491"/>
    <w:rsid w:val="00EE360D"/>
    <w:rsid w:val="00F11207"/>
    <w:rsid w:val="00F60B8E"/>
    <w:rsid w:val="00F638A8"/>
    <w:rsid w:val="00F6690F"/>
    <w:rsid w:val="00F809A8"/>
    <w:rsid w:val="00F81CE1"/>
    <w:rsid w:val="00F83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F03"/>
    <w:pPr>
      <w:overflowPunct w:val="0"/>
      <w:autoSpaceDE w:val="0"/>
      <w:autoSpaceDN w:val="0"/>
      <w:adjustRightInd w:val="0"/>
      <w:spacing w:line="360" w:lineRule="auto"/>
      <w:textAlignment w:val="baseline"/>
    </w:pPr>
    <w:rPr>
      <w:rFonts w:ascii="Times New Roman" w:hAnsi="Times New Roman"/>
      <w:sz w:val="24"/>
    </w:rPr>
  </w:style>
  <w:style w:type="paragraph" w:styleId="Rubrik1">
    <w:name w:val="heading 1"/>
    <w:basedOn w:val="Normal"/>
    <w:next w:val="Normal"/>
    <w:qFormat/>
    <w:rsid w:val="00A72886"/>
    <w:pPr>
      <w:keepNext/>
      <w:keepLines/>
      <w:spacing w:before="360" w:after="180"/>
      <w:outlineLvl w:val="0"/>
    </w:pPr>
    <w:rPr>
      <w:rFonts w:ascii="Arial" w:hAnsi="Arial"/>
      <w:b/>
      <w:sz w:val="28"/>
    </w:rPr>
  </w:style>
  <w:style w:type="paragraph" w:styleId="Rubrik2">
    <w:name w:val="heading 2"/>
    <w:basedOn w:val="Normal"/>
    <w:next w:val="Normal"/>
    <w:qFormat/>
    <w:rsid w:val="00A72886"/>
    <w:pPr>
      <w:keepNext/>
      <w:keepLines/>
      <w:spacing w:before="120" w:after="180"/>
      <w:outlineLvl w:val="1"/>
    </w:pPr>
    <w:rPr>
      <w:rFonts w:ascii="Arial" w:hAnsi="Arial"/>
      <w:b/>
    </w:rPr>
  </w:style>
  <w:style w:type="paragraph" w:styleId="Rubrik3">
    <w:name w:val="heading 3"/>
    <w:basedOn w:val="Normal"/>
    <w:next w:val="Normal"/>
    <w:qFormat/>
    <w:rsid w:val="00A72886"/>
    <w:pPr>
      <w:keepNext/>
      <w:keepLines/>
      <w:spacing w:before="120" w:after="120"/>
      <w:outlineLvl w:val="2"/>
    </w:pPr>
    <w:rPr>
      <w:b/>
    </w:rPr>
  </w:style>
  <w:style w:type="paragraph" w:styleId="Rubrik4">
    <w:name w:val="heading 4"/>
    <w:basedOn w:val="Normal"/>
    <w:next w:val="Normal"/>
    <w:qFormat/>
    <w:rsid w:val="00A72886"/>
    <w:pPr>
      <w:keepNext/>
      <w:keepLines/>
      <w:spacing w:after="6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A72886"/>
  </w:style>
  <w:style w:type="paragraph" w:styleId="Sidhuvud">
    <w:name w:val="header"/>
    <w:basedOn w:val="Normal"/>
    <w:rsid w:val="00A72886"/>
  </w:style>
  <w:style w:type="paragraph" w:styleId="Normaltindrag">
    <w:name w:val="Normal Indent"/>
    <w:basedOn w:val="Normal"/>
    <w:rsid w:val="00A72886"/>
    <w:pPr>
      <w:ind w:left="1296" w:hanging="1296"/>
    </w:pPr>
  </w:style>
  <w:style w:type="paragraph" w:customStyle="1" w:styleId="rendemening">
    <w:name w:val="Ärendemening"/>
    <w:basedOn w:val="Normal"/>
    <w:next w:val="Normal"/>
    <w:rsid w:val="00A72886"/>
    <w:pPr>
      <w:keepNext/>
      <w:keepLines/>
      <w:spacing w:after="240"/>
    </w:pPr>
    <w:rPr>
      <w:rFonts w:ascii="Helvetica" w:hAnsi="Helvetica"/>
      <w:b/>
      <w:sz w:val="32"/>
    </w:rPr>
  </w:style>
  <w:style w:type="paragraph" w:styleId="Innehll1">
    <w:name w:val="toc 1"/>
    <w:basedOn w:val="Normal"/>
    <w:next w:val="Normal"/>
    <w:semiHidden/>
    <w:rsid w:val="00A72886"/>
    <w:pPr>
      <w:tabs>
        <w:tab w:val="left" w:leader="dot" w:pos="7070"/>
        <w:tab w:val="right" w:pos="7200"/>
      </w:tabs>
    </w:pPr>
  </w:style>
  <w:style w:type="paragraph" w:styleId="Fotnotstext">
    <w:name w:val="footnote text"/>
    <w:basedOn w:val="Normal"/>
    <w:link w:val="FotnotstextChar"/>
    <w:rsid w:val="00AC1F03"/>
    <w:rPr>
      <w:sz w:val="20"/>
    </w:rPr>
  </w:style>
  <w:style w:type="character" w:customStyle="1" w:styleId="FotnotstextChar">
    <w:name w:val="Fotnotstext Char"/>
    <w:basedOn w:val="Standardstycketeckensnitt"/>
    <w:link w:val="Fotnotstext"/>
    <w:rsid w:val="00AC1F03"/>
    <w:rPr>
      <w:rFonts w:ascii="Times New Roman" w:hAnsi="Times New Roman"/>
    </w:rPr>
  </w:style>
  <w:style w:type="character" w:styleId="Fotnotsreferens">
    <w:name w:val="footnote reference"/>
    <w:basedOn w:val="Standardstycketeckensnitt"/>
    <w:rsid w:val="00AC1F03"/>
    <w:rPr>
      <w:vertAlign w:val="superscript"/>
    </w:rPr>
  </w:style>
  <w:style w:type="paragraph" w:styleId="Ballongtext">
    <w:name w:val="Balloon Text"/>
    <w:basedOn w:val="Normal"/>
    <w:link w:val="BallongtextChar"/>
    <w:rsid w:val="00AC1F03"/>
    <w:rPr>
      <w:rFonts w:ascii="Tahoma" w:hAnsi="Tahoma" w:cs="Tahoma"/>
      <w:sz w:val="16"/>
      <w:szCs w:val="16"/>
    </w:rPr>
  </w:style>
  <w:style w:type="character" w:customStyle="1" w:styleId="BallongtextChar">
    <w:name w:val="Ballongtext Char"/>
    <w:basedOn w:val="Standardstycketeckensnitt"/>
    <w:link w:val="Ballongtext"/>
    <w:rsid w:val="00AC1F03"/>
    <w:rPr>
      <w:rFonts w:ascii="Tahoma" w:hAnsi="Tahoma" w:cs="Tahoma"/>
      <w:sz w:val="16"/>
      <w:szCs w:val="16"/>
    </w:rPr>
  </w:style>
  <w:style w:type="paragraph" w:styleId="Liststycke">
    <w:name w:val="List Paragraph"/>
    <w:basedOn w:val="Normal"/>
    <w:uiPriority w:val="34"/>
    <w:qFormat/>
    <w:rsid w:val="00737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F03"/>
    <w:pPr>
      <w:overflowPunct w:val="0"/>
      <w:autoSpaceDE w:val="0"/>
      <w:autoSpaceDN w:val="0"/>
      <w:adjustRightInd w:val="0"/>
      <w:spacing w:line="360" w:lineRule="auto"/>
      <w:textAlignment w:val="baseline"/>
    </w:pPr>
    <w:rPr>
      <w:rFonts w:ascii="Times New Roman" w:hAnsi="Times New Roman"/>
      <w:sz w:val="24"/>
    </w:rPr>
  </w:style>
  <w:style w:type="paragraph" w:styleId="Rubrik1">
    <w:name w:val="heading 1"/>
    <w:basedOn w:val="Normal"/>
    <w:next w:val="Normal"/>
    <w:qFormat/>
    <w:rsid w:val="00A72886"/>
    <w:pPr>
      <w:keepNext/>
      <w:keepLines/>
      <w:spacing w:before="360" w:after="180"/>
      <w:outlineLvl w:val="0"/>
    </w:pPr>
    <w:rPr>
      <w:rFonts w:ascii="Arial" w:hAnsi="Arial"/>
      <w:b/>
      <w:sz w:val="28"/>
    </w:rPr>
  </w:style>
  <w:style w:type="paragraph" w:styleId="Rubrik2">
    <w:name w:val="heading 2"/>
    <w:basedOn w:val="Normal"/>
    <w:next w:val="Normal"/>
    <w:qFormat/>
    <w:rsid w:val="00A72886"/>
    <w:pPr>
      <w:keepNext/>
      <w:keepLines/>
      <w:spacing w:before="120" w:after="180"/>
      <w:outlineLvl w:val="1"/>
    </w:pPr>
    <w:rPr>
      <w:rFonts w:ascii="Arial" w:hAnsi="Arial"/>
      <w:b/>
    </w:rPr>
  </w:style>
  <w:style w:type="paragraph" w:styleId="Rubrik3">
    <w:name w:val="heading 3"/>
    <w:basedOn w:val="Normal"/>
    <w:next w:val="Normal"/>
    <w:qFormat/>
    <w:rsid w:val="00A72886"/>
    <w:pPr>
      <w:keepNext/>
      <w:keepLines/>
      <w:spacing w:before="120" w:after="120"/>
      <w:outlineLvl w:val="2"/>
    </w:pPr>
    <w:rPr>
      <w:b/>
    </w:rPr>
  </w:style>
  <w:style w:type="paragraph" w:styleId="Rubrik4">
    <w:name w:val="heading 4"/>
    <w:basedOn w:val="Normal"/>
    <w:next w:val="Normal"/>
    <w:qFormat/>
    <w:rsid w:val="00A72886"/>
    <w:pPr>
      <w:keepNext/>
      <w:keepLines/>
      <w:spacing w:after="6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A72886"/>
  </w:style>
  <w:style w:type="paragraph" w:styleId="Sidhuvud">
    <w:name w:val="header"/>
    <w:basedOn w:val="Normal"/>
    <w:rsid w:val="00A72886"/>
  </w:style>
  <w:style w:type="paragraph" w:styleId="Normaltindrag">
    <w:name w:val="Normal Indent"/>
    <w:basedOn w:val="Normal"/>
    <w:rsid w:val="00A72886"/>
    <w:pPr>
      <w:ind w:left="1296" w:hanging="1296"/>
    </w:pPr>
  </w:style>
  <w:style w:type="paragraph" w:customStyle="1" w:styleId="rendemening">
    <w:name w:val="Ärendemening"/>
    <w:basedOn w:val="Normal"/>
    <w:next w:val="Normal"/>
    <w:rsid w:val="00A72886"/>
    <w:pPr>
      <w:keepNext/>
      <w:keepLines/>
      <w:spacing w:after="240"/>
    </w:pPr>
    <w:rPr>
      <w:rFonts w:ascii="Helvetica" w:hAnsi="Helvetica"/>
      <w:b/>
      <w:sz w:val="32"/>
    </w:rPr>
  </w:style>
  <w:style w:type="paragraph" w:styleId="Innehll1">
    <w:name w:val="toc 1"/>
    <w:basedOn w:val="Normal"/>
    <w:next w:val="Normal"/>
    <w:semiHidden/>
    <w:rsid w:val="00A72886"/>
    <w:pPr>
      <w:tabs>
        <w:tab w:val="left" w:leader="dot" w:pos="7070"/>
        <w:tab w:val="right" w:pos="7200"/>
      </w:tabs>
    </w:pPr>
  </w:style>
  <w:style w:type="paragraph" w:styleId="Fotnotstext">
    <w:name w:val="footnote text"/>
    <w:basedOn w:val="Normal"/>
    <w:link w:val="FotnotstextChar"/>
    <w:rsid w:val="00AC1F03"/>
    <w:rPr>
      <w:sz w:val="20"/>
    </w:rPr>
  </w:style>
  <w:style w:type="character" w:customStyle="1" w:styleId="FotnotstextChar">
    <w:name w:val="Fotnotstext Char"/>
    <w:basedOn w:val="Standardstycketeckensnitt"/>
    <w:link w:val="Fotnotstext"/>
    <w:rsid w:val="00AC1F03"/>
    <w:rPr>
      <w:rFonts w:ascii="Times New Roman" w:hAnsi="Times New Roman"/>
    </w:rPr>
  </w:style>
  <w:style w:type="character" w:styleId="Fotnotsreferens">
    <w:name w:val="footnote reference"/>
    <w:basedOn w:val="Standardstycketeckensnitt"/>
    <w:rsid w:val="00AC1F03"/>
    <w:rPr>
      <w:vertAlign w:val="superscript"/>
    </w:rPr>
  </w:style>
  <w:style w:type="paragraph" w:styleId="Ballongtext">
    <w:name w:val="Balloon Text"/>
    <w:basedOn w:val="Normal"/>
    <w:link w:val="BallongtextChar"/>
    <w:rsid w:val="00AC1F03"/>
    <w:rPr>
      <w:rFonts w:ascii="Tahoma" w:hAnsi="Tahoma" w:cs="Tahoma"/>
      <w:sz w:val="16"/>
      <w:szCs w:val="16"/>
    </w:rPr>
  </w:style>
  <w:style w:type="character" w:customStyle="1" w:styleId="BallongtextChar">
    <w:name w:val="Ballongtext Char"/>
    <w:basedOn w:val="Standardstycketeckensnitt"/>
    <w:link w:val="Ballongtext"/>
    <w:rsid w:val="00AC1F03"/>
    <w:rPr>
      <w:rFonts w:ascii="Tahoma" w:hAnsi="Tahoma" w:cs="Tahoma"/>
      <w:sz w:val="16"/>
      <w:szCs w:val="16"/>
    </w:rPr>
  </w:style>
  <w:style w:type="paragraph" w:styleId="Liststycke">
    <w:name w:val="List Paragraph"/>
    <w:basedOn w:val="Normal"/>
    <w:uiPriority w:val="34"/>
    <w:qFormat/>
    <w:rsid w:val="0073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ustice.europa.eu/content_land_registers_in_member_states-109-se-en.do?member=1" TargetMode="External"/><Relationship Id="rId5" Type="http://schemas.openxmlformats.org/officeDocument/2006/relationships/settings" Target="settings.xml"/><Relationship Id="rId10" Type="http://schemas.openxmlformats.org/officeDocument/2006/relationships/image" Target="cid:image001.jpg@01CEDF97.AA695A9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44D0-6C43-483C-8DD1-16DC4D21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8</Pages>
  <Words>2251</Words>
  <Characters>11932</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SCB</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scbmaha</dc:creator>
  <cp:lastModifiedBy>Moström Jerker RM/MN-S</cp:lastModifiedBy>
  <cp:revision>132</cp:revision>
  <cp:lastPrinted>2014-05-15T16:21:00Z</cp:lastPrinted>
  <dcterms:created xsi:type="dcterms:W3CDTF">2014-05-15T14:03:00Z</dcterms:created>
  <dcterms:modified xsi:type="dcterms:W3CDTF">2014-05-15T21:37:00Z</dcterms:modified>
</cp:coreProperties>
</file>