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AF" w:rsidRPr="00440995" w:rsidRDefault="00D13206" w:rsidP="004967A0">
      <w:pPr>
        <w:jc w:val="center"/>
        <w:rPr>
          <w:b/>
          <w:color w:val="1F497D" w:themeColor="text2"/>
          <w:sz w:val="48"/>
          <w:szCs w:val="48"/>
          <w:lang w:val="en-US"/>
        </w:rPr>
      </w:pPr>
      <w:r w:rsidRPr="00440995">
        <w:rPr>
          <w:b/>
          <w:color w:val="1F497D" w:themeColor="text2"/>
          <w:sz w:val="48"/>
          <w:szCs w:val="48"/>
          <w:lang w:val="en-US"/>
        </w:rPr>
        <w:t>E</w:t>
      </w:r>
      <w:r w:rsidR="005D32F7" w:rsidRPr="00440995">
        <w:rPr>
          <w:b/>
          <w:color w:val="1F497D" w:themeColor="text2"/>
          <w:sz w:val="48"/>
          <w:szCs w:val="48"/>
          <w:lang w:val="en-US"/>
        </w:rPr>
        <w:t>nhancing i</w:t>
      </w:r>
      <w:r w:rsidR="007F49CA" w:rsidRPr="00440995">
        <w:rPr>
          <w:b/>
          <w:color w:val="1F497D" w:themeColor="text2"/>
          <w:sz w:val="48"/>
          <w:szCs w:val="48"/>
          <w:lang w:val="en-US"/>
        </w:rPr>
        <w:t>nsurance</w:t>
      </w:r>
      <w:r w:rsidR="004967A0" w:rsidRPr="00440995">
        <w:rPr>
          <w:b/>
          <w:color w:val="1F497D" w:themeColor="text2"/>
          <w:sz w:val="48"/>
          <w:szCs w:val="48"/>
          <w:lang w:val="en-US"/>
        </w:rPr>
        <w:t xml:space="preserve"> corporations and pension funds statistics</w:t>
      </w:r>
    </w:p>
    <w:p w:rsidR="00440995" w:rsidRDefault="00440995" w:rsidP="00440995">
      <w:pPr>
        <w:spacing w:line="360" w:lineRule="auto"/>
        <w:jc w:val="left"/>
        <w:rPr>
          <w:sz w:val="24"/>
          <w:szCs w:val="24"/>
          <w:lang w:val="en-US"/>
        </w:rPr>
      </w:pPr>
    </w:p>
    <w:p w:rsidR="00356620" w:rsidRPr="00356620" w:rsidRDefault="00356620" w:rsidP="00356620">
      <w:pPr>
        <w:spacing w:line="360" w:lineRule="auto"/>
        <w:jc w:val="center"/>
        <w:rPr>
          <w:i/>
          <w:sz w:val="24"/>
          <w:szCs w:val="24"/>
          <w:lang w:val="en-US"/>
        </w:rPr>
      </w:pPr>
      <w:r w:rsidRPr="00356620">
        <w:rPr>
          <w:i/>
          <w:sz w:val="24"/>
          <w:szCs w:val="24"/>
          <w:lang w:val="en-US"/>
        </w:rPr>
        <w:t xml:space="preserve">Marc-Alain </w:t>
      </w:r>
      <w:proofErr w:type="spellStart"/>
      <w:r w:rsidRPr="00356620">
        <w:rPr>
          <w:i/>
          <w:sz w:val="24"/>
          <w:szCs w:val="24"/>
          <w:lang w:val="en-US"/>
        </w:rPr>
        <w:t>Bahuchet</w:t>
      </w:r>
      <w:proofErr w:type="spellEnd"/>
    </w:p>
    <w:p w:rsidR="00356620" w:rsidRDefault="00356620" w:rsidP="00356620">
      <w:pPr>
        <w:spacing w:line="360" w:lineRule="auto"/>
        <w:jc w:val="center"/>
        <w:rPr>
          <w:sz w:val="24"/>
          <w:szCs w:val="24"/>
          <w:lang w:val="en-US"/>
        </w:rPr>
      </w:pPr>
      <w:r>
        <w:rPr>
          <w:sz w:val="24"/>
          <w:szCs w:val="24"/>
          <w:lang w:val="en-US"/>
        </w:rPr>
        <w:t>Head of monetary and financial statistics Directorate</w:t>
      </w:r>
    </w:p>
    <w:p w:rsidR="00356620" w:rsidRPr="00356620" w:rsidRDefault="00356620" w:rsidP="00356620">
      <w:pPr>
        <w:spacing w:line="360" w:lineRule="auto"/>
        <w:jc w:val="center"/>
        <w:rPr>
          <w:b/>
          <w:sz w:val="24"/>
          <w:szCs w:val="24"/>
          <w:lang w:val="en-US"/>
        </w:rPr>
      </w:pPr>
      <w:proofErr w:type="spellStart"/>
      <w:r w:rsidRPr="00356620">
        <w:rPr>
          <w:b/>
          <w:sz w:val="24"/>
          <w:szCs w:val="24"/>
          <w:lang w:val="en-US"/>
        </w:rPr>
        <w:t>Banque</w:t>
      </w:r>
      <w:proofErr w:type="spellEnd"/>
      <w:r w:rsidRPr="00356620">
        <w:rPr>
          <w:b/>
          <w:sz w:val="24"/>
          <w:szCs w:val="24"/>
          <w:lang w:val="en-US"/>
        </w:rPr>
        <w:t xml:space="preserve"> de France</w:t>
      </w:r>
    </w:p>
    <w:p w:rsidR="004967A0" w:rsidRPr="00AD1C42" w:rsidRDefault="005D32F7" w:rsidP="00B171A7">
      <w:pPr>
        <w:spacing w:before="240" w:line="360" w:lineRule="auto"/>
        <w:jc w:val="left"/>
        <w:rPr>
          <w:b/>
          <w:sz w:val="24"/>
          <w:szCs w:val="24"/>
          <w:lang w:val="en-US"/>
        </w:rPr>
      </w:pPr>
      <w:r w:rsidRPr="00AD1C42">
        <w:rPr>
          <w:b/>
          <w:sz w:val="24"/>
          <w:szCs w:val="24"/>
          <w:lang w:val="en-US"/>
        </w:rPr>
        <w:t xml:space="preserve">Introduction </w:t>
      </w:r>
    </w:p>
    <w:p w:rsidR="00E6403C" w:rsidRPr="00440995" w:rsidRDefault="007A6413" w:rsidP="00B171A7">
      <w:pPr>
        <w:spacing w:before="240" w:line="360" w:lineRule="auto"/>
        <w:rPr>
          <w:sz w:val="24"/>
          <w:szCs w:val="24"/>
          <w:lang w:val="en-US"/>
        </w:rPr>
      </w:pPr>
      <w:r w:rsidRPr="00440995">
        <w:rPr>
          <w:i/>
          <w:iCs/>
          <w:color w:val="000000"/>
          <w:sz w:val="24"/>
          <w:szCs w:val="24"/>
          <w:lang w:val="en-US"/>
        </w:rPr>
        <w:t xml:space="preserve">The </w:t>
      </w:r>
      <w:r w:rsidR="003C1589">
        <w:rPr>
          <w:i/>
          <w:iCs/>
          <w:color w:val="000000"/>
          <w:sz w:val="24"/>
          <w:szCs w:val="24"/>
          <w:lang w:val="en-US"/>
        </w:rPr>
        <w:t>necessity to collect</w:t>
      </w:r>
      <w:r w:rsidRPr="00440995">
        <w:rPr>
          <w:i/>
          <w:iCs/>
          <w:color w:val="000000"/>
          <w:sz w:val="24"/>
          <w:szCs w:val="24"/>
          <w:lang w:val="en-US"/>
        </w:rPr>
        <w:t xml:space="preserve"> more detailed and timely data </w:t>
      </w:r>
      <w:r w:rsidR="003C1589">
        <w:rPr>
          <w:i/>
          <w:iCs/>
          <w:color w:val="000000"/>
          <w:sz w:val="24"/>
          <w:szCs w:val="24"/>
          <w:lang w:val="en-US"/>
        </w:rPr>
        <w:t>concerning</w:t>
      </w:r>
      <w:r w:rsidR="003C1589" w:rsidRPr="00440995">
        <w:rPr>
          <w:i/>
          <w:iCs/>
          <w:color w:val="000000"/>
          <w:sz w:val="24"/>
          <w:szCs w:val="24"/>
          <w:lang w:val="en-US"/>
        </w:rPr>
        <w:t xml:space="preserve"> </w:t>
      </w:r>
      <w:r w:rsidRPr="00440995">
        <w:rPr>
          <w:i/>
          <w:iCs/>
          <w:color w:val="000000"/>
          <w:sz w:val="24"/>
          <w:szCs w:val="24"/>
          <w:lang w:val="en-US"/>
        </w:rPr>
        <w:t>insurance corporations and pension funds (ICPF) has risen</w:t>
      </w:r>
      <w:r w:rsidR="009022C0">
        <w:rPr>
          <w:i/>
          <w:iCs/>
          <w:color w:val="000000"/>
          <w:sz w:val="24"/>
          <w:szCs w:val="24"/>
          <w:lang w:val="en-US"/>
        </w:rPr>
        <w:t xml:space="preserve"> since the last crisis</w:t>
      </w:r>
      <w:r w:rsidRPr="00440995">
        <w:rPr>
          <w:i/>
          <w:iCs/>
          <w:color w:val="000000"/>
          <w:sz w:val="24"/>
          <w:szCs w:val="24"/>
          <w:lang w:val="en-US"/>
        </w:rPr>
        <w:t xml:space="preserve"> </w:t>
      </w:r>
      <w:r w:rsidR="003C1589">
        <w:rPr>
          <w:i/>
          <w:iCs/>
          <w:color w:val="000000"/>
          <w:sz w:val="24"/>
          <w:szCs w:val="24"/>
          <w:lang w:val="en-US"/>
        </w:rPr>
        <w:t xml:space="preserve">considering </w:t>
      </w:r>
      <w:r w:rsidRPr="00440995">
        <w:rPr>
          <w:i/>
          <w:iCs/>
          <w:color w:val="000000"/>
          <w:sz w:val="24"/>
          <w:szCs w:val="24"/>
          <w:lang w:val="en-US"/>
        </w:rPr>
        <w:t xml:space="preserve">their </w:t>
      </w:r>
      <w:r w:rsidR="009022C0">
        <w:rPr>
          <w:i/>
          <w:iCs/>
          <w:color w:val="000000"/>
          <w:sz w:val="24"/>
          <w:szCs w:val="24"/>
          <w:lang w:val="en-US"/>
        </w:rPr>
        <w:t xml:space="preserve">financial linkages </w:t>
      </w:r>
      <w:r w:rsidR="009022C0" w:rsidRPr="00440995">
        <w:rPr>
          <w:i/>
          <w:iCs/>
          <w:color w:val="000000"/>
          <w:sz w:val="24"/>
          <w:szCs w:val="24"/>
          <w:lang w:val="en-US"/>
        </w:rPr>
        <w:t>with banks and other financial intermediarie</w:t>
      </w:r>
      <w:r w:rsidR="0000329D">
        <w:rPr>
          <w:i/>
          <w:iCs/>
          <w:color w:val="000000"/>
          <w:sz w:val="24"/>
          <w:szCs w:val="24"/>
          <w:lang w:val="en-US"/>
        </w:rPr>
        <w:t>s</w:t>
      </w:r>
      <w:r w:rsidR="00042438" w:rsidRPr="00440995">
        <w:rPr>
          <w:i/>
          <w:iCs/>
          <w:color w:val="000000"/>
          <w:sz w:val="24"/>
          <w:szCs w:val="24"/>
          <w:lang w:val="en-US"/>
        </w:rPr>
        <w:t xml:space="preserve">. </w:t>
      </w:r>
      <w:r w:rsidRPr="00440995">
        <w:rPr>
          <w:i/>
          <w:iCs/>
          <w:color w:val="000000"/>
          <w:sz w:val="24"/>
          <w:szCs w:val="24"/>
          <w:lang w:val="en-US"/>
        </w:rPr>
        <w:t>Currently, t</w:t>
      </w:r>
      <w:r w:rsidR="00042438" w:rsidRPr="00440995">
        <w:rPr>
          <w:i/>
          <w:iCs/>
          <w:color w:val="000000"/>
          <w:sz w:val="24"/>
          <w:szCs w:val="24"/>
          <w:lang w:val="en-US"/>
        </w:rPr>
        <w:t xml:space="preserve">hese statistics are </w:t>
      </w:r>
      <w:r w:rsidR="003C1589">
        <w:rPr>
          <w:i/>
          <w:iCs/>
          <w:color w:val="000000"/>
          <w:sz w:val="24"/>
          <w:szCs w:val="24"/>
          <w:lang w:val="en-US"/>
        </w:rPr>
        <w:t>produced</w:t>
      </w:r>
      <w:r w:rsidR="00042438" w:rsidRPr="00440995">
        <w:rPr>
          <w:i/>
          <w:iCs/>
          <w:color w:val="000000"/>
          <w:sz w:val="24"/>
          <w:szCs w:val="24"/>
          <w:lang w:val="en-US"/>
        </w:rPr>
        <w:t xml:space="preserve"> under a “short-term approach” based on available sources, mostly </w:t>
      </w:r>
      <w:r w:rsidR="003C1589">
        <w:rPr>
          <w:i/>
          <w:iCs/>
          <w:color w:val="000000"/>
          <w:sz w:val="24"/>
          <w:szCs w:val="24"/>
          <w:lang w:val="en-US"/>
        </w:rPr>
        <w:t xml:space="preserve">collected by national </w:t>
      </w:r>
      <w:r w:rsidR="00042438" w:rsidRPr="00440995">
        <w:rPr>
          <w:i/>
          <w:iCs/>
          <w:color w:val="000000"/>
          <w:sz w:val="24"/>
          <w:szCs w:val="24"/>
          <w:lang w:val="en-US"/>
        </w:rPr>
        <w:t>supervisory authorities</w:t>
      </w:r>
      <w:r w:rsidR="005A3B72">
        <w:rPr>
          <w:i/>
          <w:iCs/>
          <w:color w:val="000000"/>
          <w:sz w:val="24"/>
          <w:szCs w:val="24"/>
          <w:lang w:val="en-US"/>
        </w:rPr>
        <w:t>.</w:t>
      </w:r>
      <w:r w:rsidR="006053D7">
        <w:rPr>
          <w:i/>
          <w:iCs/>
          <w:color w:val="000000"/>
          <w:sz w:val="24"/>
          <w:szCs w:val="24"/>
          <w:lang w:val="en-US"/>
        </w:rPr>
        <w:t xml:space="preserve"> The </w:t>
      </w:r>
      <w:r w:rsidR="00900367">
        <w:rPr>
          <w:i/>
          <w:iCs/>
          <w:color w:val="000000"/>
          <w:sz w:val="24"/>
          <w:szCs w:val="24"/>
          <w:lang w:val="en-US"/>
        </w:rPr>
        <w:t xml:space="preserve"> </w:t>
      </w:r>
      <w:r w:rsidR="003C1589">
        <w:rPr>
          <w:i/>
          <w:iCs/>
          <w:color w:val="000000"/>
          <w:sz w:val="24"/>
          <w:szCs w:val="24"/>
          <w:lang w:val="en-US"/>
        </w:rPr>
        <w:t xml:space="preserve">coming </w:t>
      </w:r>
      <w:r w:rsidR="006053D7">
        <w:rPr>
          <w:i/>
          <w:iCs/>
          <w:color w:val="000000"/>
          <w:sz w:val="24"/>
          <w:szCs w:val="24"/>
          <w:lang w:val="en-US"/>
        </w:rPr>
        <w:t>regulation on ICPF statistics</w:t>
      </w:r>
      <w:r w:rsidR="00900367">
        <w:rPr>
          <w:i/>
          <w:iCs/>
          <w:color w:val="000000"/>
          <w:sz w:val="24"/>
          <w:szCs w:val="24"/>
          <w:lang w:val="en-US"/>
        </w:rPr>
        <w:t xml:space="preserve">, mainly based on </w:t>
      </w:r>
      <w:r w:rsidR="0047147B">
        <w:rPr>
          <w:i/>
          <w:iCs/>
          <w:color w:val="000000"/>
          <w:sz w:val="24"/>
          <w:szCs w:val="24"/>
          <w:lang w:val="en-US"/>
        </w:rPr>
        <w:t xml:space="preserve">the </w:t>
      </w:r>
      <w:r w:rsidR="00900367">
        <w:rPr>
          <w:i/>
          <w:iCs/>
          <w:color w:val="000000"/>
          <w:sz w:val="24"/>
          <w:szCs w:val="24"/>
          <w:lang w:val="en-US"/>
        </w:rPr>
        <w:t xml:space="preserve">Solvency II </w:t>
      </w:r>
      <w:r w:rsidR="0047147B">
        <w:rPr>
          <w:i/>
          <w:iCs/>
          <w:color w:val="000000"/>
          <w:sz w:val="24"/>
          <w:szCs w:val="24"/>
          <w:lang w:val="en-US"/>
        </w:rPr>
        <w:t xml:space="preserve">reporting </w:t>
      </w:r>
      <w:r w:rsidR="00900367">
        <w:rPr>
          <w:i/>
          <w:iCs/>
          <w:color w:val="000000"/>
          <w:sz w:val="24"/>
          <w:szCs w:val="24"/>
          <w:lang w:val="en-US"/>
        </w:rPr>
        <w:t>templates,</w:t>
      </w:r>
      <w:r w:rsidR="006053D7">
        <w:rPr>
          <w:i/>
          <w:iCs/>
          <w:color w:val="000000"/>
          <w:sz w:val="24"/>
          <w:szCs w:val="24"/>
          <w:lang w:val="en-US"/>
        </w:rPr>
        <w:t xml:space="preserve"> will allow a better monitoring of data </w:t>
      </w:r>
      <w:r w:rsidR="00545F12">
        <w:rPr>
          <w:i/>
          <w:iCs/>
          <w:color w:val="000000"/>
          <w:sz w:val="24"/>
          <w:szCs w:val="24"/>
          <w:lang w:val="en-US"/>
        </w:rPr>
        <w:t xml:space="preserve">as well as </w:t>
      </w:r>
      <w:r w:rsidR="006053D7">
        <w:rPr>
          <w:i/>
          <w:iCs/>
          <w:color w:val="000000"/>
          <w:sz w:val="24"/>
          <w:szCs w:val="24"/>
          <w:lang w:val="en-US"/>
        </w:rPr>
        <w:t xml:space="preserve">a substantial enhancement of the users’ </w:t>
      </w:r>
      <w:r w:rsidR="00837D07">
        <w:rPr>
          <w:i/>
          <w:iCs/>
          <w:color w:val="000000"/>
          <w:sz w:val="24"/>
          <w:szCs w:val="24"/>
          <w:lang w:val="en-US"/>
        </w:rPr>
        <w:t xml:space="preserve">need </w:t>
      </w:r>
      <w:r w:rsidR="00042438" w:rsidRPr="00440995">
        <w:rPr>
          <w:i/>
          <w:iCs/>
          <w:color w:val="000000"/>
          <w:sz w:val="24"/>
          <w:szCs w:val="24"/>
          <w:lang w:val="en-US"/>
        </w:rPr>
        <w:t>.</w:t>
      </w:r>
      <w:r w:rsidR="00CC0ED0">
        <w:rPr>
          <w:i/>
          <w:iCs/>
          <w:color w:val="000000"/>
          <w:sz w:val="24"/>
          <w:szCs w:val="24"/>
          <w:lang w:val="en-US"/>
        </w:rPr>
        <w:t xml:space="preserve"> Its conception follows the general procedure adopted inside the ESCB, especially concerning the crucial step aiming at an assessment of the merits and costs associated to a new data collection. This “Merits and costs procedure” is on</w:t>
      </w:r>
      <w:r w:rsidR="00204829">
        <w:rPr>
          <w:i/>
          <w:iCs/>
          <w:color w:val="000000"/>
          <w:sz w:val="24"/>
          <w:szCs w:val="24"/>
          <w:lang w:val="en-US"/>
        </w:rPr>
        <w:t>e of</w:t>
      </w:r>
      <w:r w:rsidR="00CC0ED0">
        <w:rPr>
          <w:i/>
          <w:iCs/>
          <w:color w:val="000000"/>
          <w:sz w:val="24"/>
          <w:szCs w:val="24"/>
          <w:lang w:val="en-US"/>
        </w:rPr>
        <w:t xml:space="preserve"> the key element</w:t>
      </w:r>
      <w:r w:rsidR="00204829">
        <w:rPr>
          <w:i/>
          <w:iCs/>
          <w:color w:val="000000"/>
          <w:sz w:val="24"/>
          <w:szCs w:val="24"/>
          <w:lang w:val="en-US"/>
        </w:rPr>
        <w:t>s</w:t>
      </w:r>
      <w:r w:rsidR="00CC0ED0">
        <w:rPr>
          <w:i/>
          <w:iCs/>
          <w:color w:val="000000"/>
          <w:sz w:val="24"/>
          <w:szCs w:val="24"/>
          <w:lang w:val="en-US"/>
        </w:rPr>
        <w:t xml:space="preserve"> allowing to respect the principles presented in the Public Commitment on European Statistics by </w:t>
      </w:r>
      <w:r w:rsidR="00204829">
        <w:rPr>
          <w:i/>
          <w:iCs/>
          <w:color w:val="000000"/>
          <w:sz w:val="24"/>
          <w:szCs w:val="24"/>
          <w:lang w:val="en-US"/>
        </w:rPr>
        <w:t xml:space="preserve">the </w:t>
      </w:r>
      <w:r w:rsidR="00CC0ED0">
        <w:rPr>
          <w:i/>
          <w:iCs/>
          <w:color w:val="000000"/>
          <w:sz w:val="24"/>
          <w:szCs w:val="24"/>
          <w:lang w:val="en-US"/>
        </w:rPr>
        <w:t>ESCB.</w:t>
      </w:r>
    </w:p>
    <w:p w:rsidR="001105AF" w:rsidRPr="00B171A7" w:rsidRDefault="005D32F7" w:rsidP="00B171A7">
      <w:pPr>
        <w:spacing w:before="240" w:line="360" w:lineRule="auto"/>
        <w:jc w:val="left"/>
        <w:rPr>
          <w:b/>
          <w:color w:val="1F497D" w:themeColor="text2"/>
          <w:sz w:val="24"/>
          <w:szCs w:val="24"/>
          <w:u w:val="single"/>
          <w:lang w:val="en-US"/>
        </w:rPr>
      </w:pPr>
      <w:r w:rsidRPr="00440995">
        <w:rPr>
          <w:b/>
          <w:color w:val="1F497D" w:themeColor="text2"/>
          <w:sz w:val="24"/>
          <w:szCs w:val="24"/>
          <w:u w:val="single"/>
          <w:lang w:val="en-US"/>
        </w:rPr>
        <w:t>1</w:t>
      </w:r>
      <w:r w:rsidR="00D13206" w:rsidRPr="00440995">
        <w:rPr>
          <w:b/>
          <w:color w:val="1F497D" w:themeColor="text2"/>
          <w:sz w:val="24"/>
          <w:szCs w:val="24"/>
          <w:u w:val="single"/>
          <w:lang w:val="en-US"/>
        </w:rPr>
        <w:t>.</w:t>
      </w:r>
      <w:r w:rsidRPr="00440995">
        <w:rPr>
          <w:b/>
          <w:color w:val="1F497D" w:themeColor="text2"/>
          <w:sz w:val="24"/>
          <w:szCs w:val="24"/>
          <w:u w:val="single"/>
          <w:lang w:val="en-US"/>
        </w:rPr>
        <w:t xml:space="preserve"> </w:t>
      </w:r>
      <w:r w:rsidR="003B0242" w:rsidRPr="00440995">
        <w:rPr>
          <w:b/>
          <w:color w:val="1F497D" w:themeColor="text2"/>
          <w:sz w:val="24"/>
          <w:szCs w:val="24"/>
          <w:u w:val="single"/>
          <w:lang w:val="en-US"/>
        </w:rPr>
        <w:t xml:space="preserve">An insight </w:t>
      </w:r>
      <w:r w:rsidRPr="00440995">
        <w:rPr>
          <w:b/>
          <w:color w:val="1F497D" w:themeColor="text2"/>
          <w:sz w:val="24"/>
          <w:szCs w:val="24"/>
          <w:u w:val="single"/>
          <w:lang w:val="en-US"/>
        </w:rPr>
        <w:t>of t</w:t>
      </w:r>
      <w:r w:rsidR="00E3724D" w:rsidRPr="00440995">
        <w:rPr>
          <w:b/>
          <w:color w:val="1F497D" w:themeColor="text2"/>
          <w:sz w:val="24"/>
          <w:szCs w:val="24"/>
          <w:u w:val="single"/>
          <w:lang w:val="en-US"/>
        </w:rPr>
        <w:t>he</w:t>
      </w:r>
      <w:r w:rsidR="004851EB">
        <w:rPr>
          <w:b/>
          <w:color w:val="1F497D" w:themeColor="text2"/>
          <w:sz w:val="24"/>
          <w:szCs w:val="24"/>
          <w:u w:val="single"/>
          <w:lang w:val="en-US"/>
        </w:rPr>
        <w:t xml:space="preserve"> ESCB</w:t>
      </w:r>
      <w:r w:rsidRPr="00440995">
        <w:rPr>
          <w:b/>
          <w:color w:val="1F497D" w:themeColor="text2"/>
          <w:sz w:val="24"/>
          <w:szCs w:val="24"/>
          <w:u w:val="single"/>
          <w:lang w:val="en-US"/>
        </w:rPr>
        <w:t xml:space="preserve"> </w:t>
      </w:r>
      <w:r w:rsidR="004967A0" w:rsidRPr="00440995">
        <w:rPr>
          <w:b/>
          <w:color w:val="1F497D" w:themeColor="text2"/>
          <w:sz w:val="24"/>
          <w:szCs w:val="24"/>
          <w:u w:val="single"/>
          <w:lang w:val="en-US"/>
        </w:rPr>
        <w:t xml:space="preserve">ICPF statistics </w:t>
      </w:r>
    </w:p>
    <w:p w:rsidR="005D32F7" w:rsidRPr="00B171A7" w:rsidRDefault="005D32F7" w:rsidP="00B171A7">
      <w:pPr>
        <w:spacing w:before="240" w:line="360" w:lineRule="auto"/>
        <w:jc w:val="left"/>
        <w:rPr>
          <w:b/>
          <w:i/>
          <w:sz w:val="24"/>
          <w:szCs w:val="24"/>
          <w:lang w:val="en-US"/>
        </w:rPr>
      </w:pPr>
      <w:r w:rsidRPr="00440995">
        <w:rPr>
          <w:b/>
          <w:i/>
          <w:sz w:val="24"/>
          <w:szCs w:val="24"/>
          <w:lang w:val="en-US"/>
        </w:rPr>
        <w:t>1</w:t>
      </w:r>
      <w:r w:rsidR="004967A0" w:rsidRPr="00440995">
        <w:rPr>
          <w:b/>
          <w:i/>
          <w:sz w:val="24"/>
          <w:szCs w:val="24"/>
          <w:lang w:val="en-US"/>
        </w:rPr>
        <w:t xml:space="preserve">.1 The </w:t>
      </w:r>
      <w:r w:rsidRPr="00440995">
        <w:rPr>
          <w:b/>
          <w:i/>
          <w:sz w:val="24"/>
          <w:szCs w:val="24"/>
          <w:lang w:val="en-US"/>
        </w:rPr>
        <w:t>current statistics are collected under a short term approach</w:t>
      </w:r>
    </w:p>
    <w:p w:rsidR="00D94397" w:rsidRPr="00D94397" w:rsidRDefault="00C1069B" w:rsidP="00D94397">
      <w:pPr>
        <w:pStyle w:val="Paragraphedeliste"/>
        <w:numPr>
          <w:ilvl w:val="0"/>
          <w:numId w:val="18"/>
        </w:numPr>
        <w:spacing w:before="240" w:line="360" w:lineRule="auto"/>
        <w:ind w:left="567"/>
        <w:rPr>
          <w:sz w:val="24"/>
          <w:szCs w:val="24"/>
          <w:lang w:val="en-US"/>
        </w:rPr>
      </w:pPr>
      <w:r>
        <w:rPr>
          <w:sz w:val="24"/>
          <w:szCs w:val="24"/>
          <w:lang w:val="en-US"/>
        </w:rPr>
        <w:t xml:space="preserve">New </w:t>
      </w:r>
      <w:r w:rsidR="005D32F7" w:rsidRPr="00440995">
        <w:rPr>
          <w:sz w:val="24"/>
          <w:szCs w:val="24"/>
          <w:lang w:val="en-US"/>
        </w:rPr>
        <w:t>ICPF statistics to fill up the data gaps (G20 summit)</w:t>
      </w:r>
    </w:p>
    <w:p w:rsidR="002B0871" w:rsidRDefault="002B0871" w:rsidP="002B0871">
      <w:pPr>
        <w:autoSpaceDE w:val="0"/>
        <w:autoSpaceDN w:val="0"/>
        <w:adjustRightInd w:val="0"/>
        <w:spacing w:before="240" w:line="360" w:lineRule="auto"/>
        <w:rPr>
          <w:sz w:val="24"/>
          <w:szCs w:val="24"/>
          <w:lang w:val="en-US"/>
        </w:rPr>
      </w:pPr>
      <w:r w:rsidRPr="002B0871">
        <w:rPr>
          <w:sz w:val="24"/>
          <w:szCs w:val="24"/>
          <w:lang w:val="en-US"/>
        </w:rPr>
        <w:t xml:space="preserve">In 1998, when the legislation empowering the ECB to collect statistical data was introduced, it was thought that ICPF statistics were not </w:t>
      </w:r>
      <w:r w:rsidR="00D6686A">
        <w:rPr>
          <w:sz w:val="24"/>
          <w:szCs w:val="24"/>
          <w:lang w:val="en-US"/>
        </w:rPr>
        <w:t>essential f</w:t>
      </w:r>
      <w:r w:rsidRPr="002B0871">
        <w:rPr>
          <w:sz w:val="24"/>
          <w:szCs w:val="24"/>
          <w:lang w:val="en-US"/>
        </w:rPr>
        <w:t xml:space="preserve">or the ECB’s monetary policy purposes. </w:t>
      </w:r>
      <w:r w:rsidR="005140D2" w:rsidRPr="00440995">
        <w:rPr>
          <w:sz w:val="24"/>
          <w:szCs w:val="24"/>
          <w:lang w:val="en-US"/>
        </w:rPr>
        <w:t xml:space="preserve">The financial crisis which began in 2007 has shown that the aggregated statistics traditionally used for the economic and monetary analysis were not </w:t>
      </w:r>
      <w:r w:rsidR="005140D2">
        <w:rPr>
          <w:sz w:val="24"/>
          <w:szCs w:val="24"/>
          <w:lang w:val="en-US"/>
        </w:rPr>
        <w:t>sufficient from financial stability perspective</w:t>
      </w:r>
      <w:r w:rsidR="005140D2" w:rsidRPr="00440995">
        <w:rPr>
          <w:sz w:val="24"/>
          <w:szCs w:val="24"/>
          <w:lang w:val="en-US"/>
        </w:rPr>
        <w:t xml:space="preserve">. </w:t>
      </w:r>
    </w:p>
    <w:p w:rsidR="002B0871" w:rsidRDefault="005140D2" w:rsidP="002B0871">
      <w:pPr>
        <w:autoSpaceDE w:val="0"/>
        <w:autoSpaceDN w:val="0"/>
        <w:adjustRightInd w:val="0"/>
        <w:spacing w:before="240" w:line="360" w:lineRule="auto"/>
        <w:rPr>
          <w:sz w:val="24"/>
          <w:szCs w:val="24"/>
          <w:lang w:val="en-US"/>
        </w:rPr>
      </w:pPr>
      <w:r w:rsidRPr="00440995">
        <w:rPr>
          <w:sz w:val="24"/>
          <w:szCs w:val="24"/>
          <w:lang w:val="en-US"/>
        </w:rPr>
        <w:lastRenderedPageBreak/>
        <w:t>The recommendations of the Group of Twenty leading countries (G20) following the crisis have greatly increased the importance of the ECB’s financial stability function.</w:t>
      </w:r>
      <w:r w:rsidRPr="00440995">
        <w:rPr>
          <w:rFonts w:ascii="TimesNewRomanWGL" w:hAnsi="TimesNewRomanWGL" w:cs="TimesNewRomanWGL"/>
          <w:sz w:val="24"/>
          <w:szCs w:val="24"/>
          <w:lang w:val="en-US"/>
        </w:rPr>
        <w:t xml:space="preserve">  </w:t>
      </w:r>
      <w:r w:rsidRPr="00440995">
        <w:rPr>
          <w:sz w:val="24"/>
          <w:szCs w:val="24"/>
          <w:lang w:val="en-US"/>
        </w:rPr>
        <w:t>A new task</w:t>
      </w:r>
      <w:r>
        <w:rPr>
          <w:rStyle w:val="Appelnotedebasdep"/>
          <w:szCs w:val="24"/>
          <w:lang w:val="en-US"/>
        </w:rPr>
        <w:footnoteReference w:id="1"/>
      </w:r>
      <w:r w:rsidRPr="00440995">
        <w:rPr>
          <w:sz w:val="24"/>
          <w:szCs w:val="24"/>
          <w:lang w:val="en-US"/>
        </w:rPr>
        <w:t xml:space="preserve"> was assigned to the ECB to provide statistical support to the European Systemic Risk Board</w:t>
      </w:r>
      <w:r>
        <w:rPr>
          <w:rStyle w:val="Appelnotedebasdep"/>
          <w:szCs w:val="24"/>
          <w:lang w:val="en-US"/>
        </w:rPr>
        <w:footnoteReference w:id="2"/>
      </w:r>
      <w:r w:rsidRPr="00440995">
        <w:rPr>
          <w:sz w:val="24"/>
          <w:szCs w:val="24"/>
          <w:lang w:val="en-US"/>
        </w:rPr>
        <w:t xml:space="preserve"> and ha</w:t>
      </w:r>
      <w:r w:rsidR="002C6258">
        <w:rPr>
          <w:sz w:val="24"/>
          <w:szCs w:val="24"/>
          <w:lang w:val="en-US"/>
        </w:rPr>
        <w:t>s</w:t>
      </w:r>
      <w:r w:rsidRPr="00440995">
        <w:rPr>
          <w:sz w:val="24"/>
          <w:szCs w:val="24"/>
          <w:lang w:val="en-US"/>
        </w:rPr>
        <w:t xml:space="preserve"> led to place a higher priority on developing new statistics related to financial stability analysis. </w:t>
      </w:r>
    </w:p>
    <w:p w:rsidR="003E74C8" w:rsidRDefault="00A958E4" w:rsidP="00B171A7">
      <w:pPr>
        <w:autoSpaceDE w:val="0"/>
        <w:autoSpaceDN w:val="0"/>
        <w:adjustRightInd w:val="0"/>
        <w:spacing w:before="240" w:line="360" w:lineRule="auto"/>
        <w:rPr>
          <w:sz w:val="24"/>
          <w:szCs w:val="24"/>
          <w:lang w:val="en-US"/>
        </w:rPr>
      </w:pPr>
      <w:r>
        <w:rPr>
          <w:sz w:val="24"/>
          <w:szCs w:val="24"/>
          <w:lang w:val="en-US"/>
        </w:rPr>
        <w:t>Among these new statistics, ICPF statistics are</w:t>
      </w:r>
      <w:r w:rsidR="00F56CD5">
        <w:rPr>
          <w:sz w:val="24"/>
          <w:szCs w:val="24"/>
          <w:lang w:val="en-US"/>
        </w:rPr>
        <w:t xml:space="preserve"> </w:t>
      </w:r>
      <w:r>
        <w:rPr>
          <w:sz w:val="24"/>
          <w:szCs w:val="24"/>
          <w:lang w:val="en-US"/>
        </w:rPr>
        <w:t>crucial i</w:t>
      </w:r>
      <w:r w:rsidRPr="00440995">
        <w:rPr>
          <w:sz w:val="24"/>
          <w:szCs w:val="24"/>
          <w:lang w:val="en-US"/>
        </w:rPr>
        <w:t xml:space="preserve">n view of the size and importance of </w:t>
      </w:r>
      <w:r>
        <w:rPr>
          <w:sz w:val="24"/>
          <w:szCs w:val="24"/>
          <w:lang w:val="en-US"/>
        </w:rPr>
        <w:t xml:space="preserve">this sector </w:t>
      </w:r>
      <w:r w:rsidRPr="00440995">
        <w:rPr>
          <w:sz w:val="24"/>
          <w:szCs w:val="24"/>
          <w:lang w:val="en-US"/>
        </w:rPr>
        <w:t>(Balance sheets of euro area ICPFs amounted to some €8 trillion at end-2013, with insurance corporations representing 80% of the total) which is likely to increase as populations age</w:t>
      </w:r>
      <w:r>
        <w:rPr>
          <w:sz w:val="24"/>
          <w:szCs w:val="24"/>
          <w:lang w:val="en-US"/>
        </w:rPr>
        <w:t>.</w:t>
      </w:r>
    </w:p>
    <w:p w:rsidR="00D94397" w:rsidRDefault="00D94397" w:rsidP="00B171A7">
      <w:pPr>
        <w:autoSpaceDE w:val="0"/>
        <w:autoSpaceDN w:val="0"/>
        <w:adjustRightInd w:val="0"/>
        <w:spacing w:before="240" w:line="360" w:lineRule="auto"/>
        <w:rPr>
          <w:sz w:val="24"/>
          <w:szCs w:val="24"/>
          <w:lang w:val="en-US"/>
        </w:rPr>
      </w:pPr>
    </w:p>
    <w:p w:rsidR="005A61BF" w:rsidRDefault="002B0871" w:rsidP="005A61BF">
      <w:pPr>
        <w:pStyle w:val="Paragraphedeliste"/>
        <w:numPr>
          <w:ilvl w:val="0"/>
          <w:numId w:val="18"/>
        </w:numPr>
        <w:rPr>
          <w:sz w:val="24"/>
          <w:szCs w:val="24"/>
          <w:lang w:val="en-US"/>
        </w:rPr>
      </w:pPr>
      <w:r w:rsidRPr="002B0871">
        <w:rPr>
          <w:sz w:val="24"/>
          <w:szCs w:val="24"/>
          <w:lang w:val="en-US"/>
        </w:rPr>
        <w:t xml:space="preserve">Review of the development of ICPF </w:t>
      </w:r>
      <w:r w:rsidR="005A61BF" w:rsidRPr="005A61BF">
        <w:rPr>
          <w:sz w:val="24"/>
          <w:szCs w:val="24"/>
          <w:lang w:val="en-US"/>
        </w:rPr>
        <w:t>statistics collected by the ECB</w:t>
      </w:r>
    </w:p>
    <w:p w:rsidR="005A61BF" w:rsidRDefault="005A61BF" w:rsidP="005A61BF">
      <w:pPr>
        <w:rPr>
          <w:sz w:val="24"/>
          <w:szCs w:val="24"/>
          <w:lang w:val="en-US"/>
        </w:rPr>
      </w:pPr>
    </w:p>
    <w:p w:rsidR="005A61BF" w:rsidRDefault="005140D2" w:rsidP="005A61BF">
      <w:pPr>
        <w:autoSpaceDE w:val="0"/>
        <w:autoSpaceDN w:val="0"/>
        <w:adjustRightInd w:val="0"/>
        <w:spacing w:before="240" w:line="360" w:lineRule="auto"/>
        <w:rPr>
          <w:sz w:val="24"/>
          <w:szCs w:val="24"/>
          <w:lang w:val="en-US"/>
        </w:rPr>
      </w:pPr>
      <w:r w:rsidRPr="00440995">
        <w:rPr>
          <w:sz w:val="24"/>
          <w:szCs w:val="24"/>
          <w:lang w:val="en-US"/>
        </w:rPr>
        <w:t>The ECB has published, since 2003 quarterly balance sheet data for insurance corporations and pension funds and alongside the quarterly integrated economic and financial accounts by institutional sector. The data were, however, highly aggregated and available about 110 days after the reference quarter.</w:t>
      </w:r>
      <w:r w:rsidR="000B2CCB">
        <w:rPr>
          <w:sz w:val="24"/>
          <w:szCs w:val="24"/>
          <w:lang w:val="en-US"/>
        </w:rPr>
        <w:t xml:space="preserve"> </w:t>
      </w:r>
      <w:r w:rsidR="00A958E4">
        <w:rPr>
          <w:sz w:val="24"/>
          <w:szCs w:val="24"/>
          <w:lang w:val="en-US"/>
        </w:rPr>
        <w:t>After the financial crisis,</w:t>
      </w:r>
      <w:r w:rsidR="00A958E4" w:rsidRPr="00440995">
        <w:rPr>
          <w:sz w:val="24"/>
          <w:szCs w:val="24"/>
          <w:lang w:val="en-US"/>
        </w:rPr>
        <w:t xml:space="preserve"> </w:t>
      </w:r>
      <w:r w:rsidR="00A958E4">
        <w:rPr>
          <w:sz w:val="24"/>
          <w:szCs w:val="24"/>
          <w:lang w:val="en-US"/>
        </w:rPr>
        <w:t>t</w:t>
      </w:r>
      <w:r w:rsidRPr="00440995">
        <w:rPr>
          <w:sz w:val="24"/>
          <w:szCs w:val="24"/>
          <w:lang w:val="en-US"/>
        </w:rPr>
        <w:t>hese data were enhanced in 2011</w:t>
      </w:r>
      <w:r w:rsidR="00A958E4">
        <w:rPr>
          <w:sz w:val="24"/>
          <w:szCs w:val="24"/>
          <w:lang w:val="en-US"/>
        </w:rPr>
        <w:t xml:space="preserve"> </w:t>
      </w:r>
      <w:r w:rsidR="0078714F">
        <w:rPr>
          <w:sz w:val="24"/>
          <w:szCs w:val="24"/>
          <w:lang w:val="en-US"/>
        </w:rPr>
        <w:t xml:space="preserve">and made </w:t>
      </w:r>
      <w:r w:rsidR="006B206A">
        <w:rPr>
          <w:sz w:val="24"/>
          <w:szCs w:val="24"/>
          <w:lang w:val="en-US"/>
        </w:rPr>
        <w:t xml:space="preserve">available only 85 days after the reference quarter </w:t>
      </w:r>
      <w:r w:rsidR="00A958E4">
        <w:rPr>
          <w:sz w:val="24"/>
          <w:szCs w:val="24"/>
          <w:lang w:val="en-US"/>
        </w:rPr>
        <w:t xml:space="preserve">but </w:t>
      </w:r>
      <w:r w:rsidR="002C6258">
        <w:rPr>
          <w:sz w:val="24"/>
          <w:szCs w:val="24"/>
          <w:lang w:val="en-US"/>
        </w:rPr>
        <w:t>still</w:t>
      </w:r>
      <w:r w:rsidRPr="00440995">
        <w:rPr>
          <w:sz w:val="24"/>
          <w:szCs w:val="24"/>
          <w:lang w:val="en-US"/>
        </w:rPr>
        <w:t xml:space="preserve"> collected </w:t>
      </w:r>
      <w:r w:rsidR="00A958E4" w:rsidRPr="00440995">
        <w:rPr>
          <w:sz w:val="24"/>
          <w:szCs w:val="24"/>
          <w:lang w:val="en-US"/>
        </w:rPr>
        <w:t>on a best efforts basis</w:t>
      </w:r>
      <w:r w:rsidR="00A958E4">
        <w:rPr>
          <w:sz w:val="24"/>
          <w:szCs w:val="24"/>
          <w:lang w:val="en-US"/>
        </w:rPr>
        <w:t>,</w:t>
      </w:r>
      <w:r w:rsidR="00A958E4" w:rsidRPr="00440995">
        <w:rPr>
          <w:sz w:val="24"/>
          <w:szCs w:val="24"/>
          <w:lang w:val="en-US"/>
        </w:rPr>
        <w:t xml:space="preserve"> under a ‘short-term approach’</w:t>
      </w:r>
      <w:r w:rsidR="00A958E4">
        <w:rPr>
          <w:sz w:val="24"/>
          <w:szCs w:val="24"/>
          <w:lang w:val="en-US"/>
        </w:rPr>
        <w:t xml:space="preserve">, </w:t>
      </w:r>
      <w:r w:rsidRPr="00440995">
        <w:rPr>
          <w:sz w:val="24"/>
          <w:szCs w:val="24"/>
          <w:lang w:val="en-US"/>
        </w:rPr>
        <w:t>and not fully comparable across countries</w:t>
      </w:r>
      <w:r>
        <w:rPr>
          <w:sz w:val="24"/>
          <w:szCs w:val="24"/>
          <w:lang w:val="en-US"/>
        </w:rPr>
        <w:t>.</w:t>
      </w:r>
      <w:r w:rsidR="00A958E4">
        <w:rPr>
          <w:sz w:val="24"/>
          <w:szCs w:val="24"/>
          <w:lang w:val="en-US"/>
        </w:rPr>
        <w:t xml:space="preserve"> </w:t>
      </w:r>
    </w:p>
    <w:p w:rsidR="007A5A2E" w:rsidRDefault="00A958E4" w:rsidP="00B171A7">
      <w:pPr>
        <w:autoSpaceDE w:val="0"/>
        <w:autoSpaceDN w:val="0"/>
        <w:adjustRightInd w:val="0"/>
        <w:spacing w:before="240" w:line="360" w:lineRule="auto"/>
        <w:rPr>
          <w:sz w:val="24"/>
          <w:szCs w:val="24"/>
          <w:lang w:val="en-US"/>
        </w:rPr>
      </w:pPr>
      <w:r>
        <w:rPr>
          <w:sz w:val="24"/>
          <w:szCs w:val="24"/>
          <w:lang w:val="en-US"/>
        </w:rPr>
        <w:t xml:space="preserve">The </w:t>
      </w:r>
      <w:r w:rsidR="00204829">
        <w:rPr>
          <w:sz w:val="24"/>
          <w:szCs w:val="24"/>
          <w:lang w:val="en-US"/>
        </w:rPr>
        <w:t xml:space="preserve">last </w:t>
      </w:r>
      <w:r>
        <w:rPr>
          <w:sz w:val="24"/>
          <w:szCs w:val="24"/>
          <w:lang w:val="en-US"/>
        </w:rPr>
        <w:t>changes in regulatory environment for insurance corporations</w:t>
      </w:r>
      <w:r w:rsidR="000B2CCB">
        <w:rPr>
          <w:sz w:val="24"/>
          <w:szCs w:val="24"/>
          <w:lang w:val="en-US"/>
        </w:rPr>
        <w:t>,</w:t>
      </w:r>
      <w:r>
        <w:rPr>
          <w:sz w:val="24"/>
          <w:szCs w:val="24"/>
          <w:lang w:val="en-US"/>
        </w:rPr>
        <w:t xml:space="preserve"> with the adoption of the Solvency II directive</w:t>
      </w:r>
      <w:r w:rsidR="001503EA" w:rsidRPr="00E056DD">
        <w:rPr>
          <w:rStyle w:val="Appelnotedebasdep"/>
          <w:sz w:val="16"/>
          <w:szCs w:val="16"/>
          <w:lang w:val="en-US"/>
        </w:rPr>
        <w:footnoteReference w:id="3"/>
      </w:r>
      <w:r w:rsidR="000B2CCB">
        <w:rPr>
          <w:sz w:val="24"/>
          <w:szCs w:val="24"/>
          <w:lang w:val="en-US"/>
        </w:rPr>
        <w:t>,</w:t>
      </w:r>
      <w:r>
        <w:rPr>
          <w:sz w:val="24"/>
          <w:szCs w:val="24"/>
          <w:lang w:val="en-US"/>
        </w:rPr>
        <w:t xml:space="preserve"> and</w:t>
      </w:r>
      <w:r w:rsidR="000B2CCB">
        <w:rPr>
          <w:sz w:val="24"/>
          <w:szCs w:val="24"/>
          <w:lang w:val="en-US"/>
        </w:rPr>
        <w:t xml:space="preserve"> for financial accounts, with the adoption of the ESA 2010 prompted a new </w:t>
      </w:r>
      <w:r w:rsidR="007479EE">
        <w:rPr>
          <w:sz w:val="24"/>
          <w:szCs w:val="24"/>
          <w:lang w:val="en-US"/>
        </w:rPr>
        <w:t>enhancement</w:t>
      </w:r>
      <w:r w:rsidR="001503EA">
        <w:rPr>
          <w:sz w:val="24"/>
          <w:szCs w:val="24"/>
          <w:lang w:val="en-US"/>
        </w:rPr>
        <w:t xml:space="preserve"> </w:t>
      </w:r>
      <w:r w:rsidR="000B2CCB">
        <w:rPr>
          <w:sz w:val="24"/>
          <w:szCs w:val="24"/>
          <w:lang w:val="en-US"/>
        </w:rPr>
        <w:t>in ICPF statistics</w:t>
      </w:r>
      <w:r w:rsidR="00362612">
        <w:rPr>
          <w:sz w:val="24"/>
          <w:szCs w:val="24"/>
          <w:lang w:val="en-US"/>
        </w:rPr>
        <w:t xml:space="preserve"> that has to be adopted through a new regulation</w:t>
      </w:r>
      <w:r w:rsidR="000B2CCB">
        <w:rPr>
          <w:sz w:val="24"/>
          <w:szCs w:val="24"/>
          <w:lang w:val="en-US"/>
        </w:rPr>
        <w:t>.</w:t>
      </w:r>
      <w:r w:rsidR="001503EA">
        <w:rPr>
          <w:sz w:val="24"/>
          <w:szCs w:val="24"/>
          <w:lang w:val="en-US"/>
        </w:rPr>
        <w:t xml:space="preserve"> </w:t>
      </w:r>
    </w:p>
    <w:p w:rsidR="005D32F7" w:rsidRPr="00B171A7" w:rsidRDefault="005D32F7" w:rsidP="00B171A7">
      <w:pPr>
        <w:spacing w:before="240" w:line="360" w:lineRule="auto"/>
        <w:jc w:val="left"/>
        <w:rPr>
          <w:b/>
          <w:i/>
          <w:sz w:val="24"/>
          <w:szCs w:val="24"/>
          <w:lang w:val="en-US"/>
        </w:rPr>
      </w:pPr>
      <w:r w:rsidRPr="00440995">
        <w:rPr>
          <w:b/>
          <w:i/>
          <w:sz w:val="24"/>
          <w:szCs w:val="24"/>
          <w:lang w:val="en-US"/>
        </w:rPr>
        <w:t xml:space="preserve">1.2 </w:t>
      </w:r>
      <w:r w:rsidR="008264E1" w:rsidRPr="00440995">
        <w:rPr>
          <w:b/>
          <w:i/>
          <w:sz w:val="24"/>
          <w:szCs w:val="24"/>
          <w:lang w:val="en-US"/>
        </w:rPr>
        <w:t xml:space="preserve">Need for </w:t>
      </w:r>
      <w:r w:rsidR="002A1777" w:rsidRPr="00440995">
        <w:rPr>
          <w:b/>
          <w:i/>
          <w:sz w:val="24"/>
          <w:szCs w:val="24"/>
          <w:lang w:val="en-US"/>
        </w:rPr>
        <w:t>enhanced ICPF data</w:t>
      </w:r>
      <w:r w:rsidR="007155BE" w:rsidRPr="00440995">
        <w:rPr>
          <w:b/>
          <w:i/>
          <w:sz w:val="24"/>
          <w:szCs w:val="24"/>
          <w:lang w:val="en-US"/>
        </w:rPr>
        <w:t>: c</w:t>
      </w:r>
      <w:r w:rsidRPr="00440995">
        <w:rPr>
          <w:b/>
          <w:i/>
          <w:sz w:val="24"/>
          <w:szCs w:val="24"/>
          <w:lang w:val="en-US"/>
        </w:rPr>
        <w:t>hanges in the regulatory environment</w:t>
      </w:r>
      <w:r w:rsidR="007155BE" w:rsidRPr="00440995">
        <w:rPr>
          <w:b/>
          <w:i/>
          <w:sz w:val="24"/>
          <w:szCs w:val="24"/>
          <w:lang w:val="en-US"/>
        </w:rPr>
        <w:t xml:space="preserve">  </w:t>
      </w:r>
    </w:p>
    <w:p w:rsidR="00D66C47" w:rsidRPr="00BE7AA0" w:rsidRDefault="005D32F7" w:rsidP="00BE7AA0">
      <w:pPr>
        <w:pStyle w:val="Paragraphedeliste"/>
        <w:numPr>
          <w:ilvl w:val="0"/>
          <w:numId w:val="18"/>
        </w:numPr>
        <w:spacing w:before="240" w:line="360" w:lineRule="auto"/>
        <w:ind w:left="567"/>
        <w:rPr>
          <w:sz w:val="24"/>
          <w:szCs w:val="24"/>
          <w:lang w:val="en-US"/>
        </w:rPr>
      </w:pPr>
      <w:r w:rsidRPr="00440995">
        <w:rPr>
          <w:sz w:val="24"/>
          <w:szCs w:val="24"/>
          <w:lang w:val="en-US"/>
        </w:rPr>
        <w:t xml:space="preserve">Review of the prudential regime for insurance and reinsurance undertakings in the European Union: Solvency II </w:t>
      </w:r>
    </w:p>
    <w:p w:rsidR="00B35DB5" w:rsidRPr="00440995" w:rsidRDefault="006B1EF7" w:rsidP="00B35DB5">
      <w:pPr>
        <w:spacing w:before="240" w:line="360" w:lineRule="auto"/>
        <w:rPr>
          <w:sz w:val="24"/>
          <w:szCs w:val="24"/>
          <w:lang w:val="en-US"/>
        </w:rPr>
      </w:pPr>
      <w:r w:rsidRPr="00440995">
        <w:rPr>
          <w:sz w:val="24"/>
          <w:szCs w:val="24"/>
          <w:lang w:val="en-US"/>
        </w:rPr>
        <w:t>Solvency II Directive</w:t>
      </w:r>
      <w:r w:rsidRPr="00E056DD">
        <w:rPr>
          <w:sz w:val="16"/>
          <w:szCs w:val="16"/>
          <w:lang w:val="en-US"/>
        </w:rPr>
        <w:t xml:space="preserve"> </w:t>
      </w:r>
      <w:r w:rsidRPr="00440995">
        <w:rPr>
          <w:sz w:val="24"/>
          <w:szCs w:val="24"/>
          <w:lang w:val="en-US"/>
        </w:rPr>
        <w:t xml:space="preserve">is the new solvency regime for all EU insurers and reinsurers, which also covers the insurance operation of bancassurers. Due to come into effect on 1 January </w:t>
      </w:r>
      <w:r w:rsidRPr="00440995">
        <w:rPr>
          <w:sz w:val="24"/>
          <w:szCs w:val="24"/>
          <w:lang w:val="en-US"/>
        </w:rPr>
        <w:lastRenderedPageBreak/>
        <w:t xml:space="preserve">2016, Solvency II aims to implement solvency requirements that better reflect the risks that </w:t>
      </w:r>
      <w:r w:rsidR="00311C65" w:rsidRPr="00440995">
        <w:rPr>
          <w:sz w:val="24"/>
          <w:szCs w:val="24"/>
          <w:lang w:val="en-US"/>
        </w:rPr>
        <w:t xml:space="preserve">insurance </w:t>
      </w:r>
      <w:r w:rsidRPr="00440995">
        <w:rPr>
          <w:sz w:val="24"/>
          <w:szCs w:val="24"/>
          <w:lang w:val="en-US"/>
        </w:rPr>
        <w:t xml:space="preserve">companies face and deliver a supervisory </w:t>
      </w:r>
      <w:r w:rsidR="00065E4A" w:rsidRPr="00440995">
        <w:rPr>
          <w:sz w:val="24"/>
          <w:szCs w:val="24"/>
          <w:lang w:val="en-US"/>
        </w:rPr>
        <w:t>s</w:t>
      </w:r>
      <w:r w:rsidR="00065E4A">
        <w:rPr>
          <w:sz w:val="24"/>
          <w:szCs w:val="24"/>
          <w:lang w:val="en-US"/>
        </w:rPr>
        <w:t>cheme</w:t>
      </w:r>
      <w:r w:rsidR="00065E4A" w:rsidRPr="00440995">
        <w:rPr>
          <w:sz w:val="24"/>
          <w:szCs w:val="24"/>
          <w:lang w:val="en-US"/>
        </w:rPr>
        <w:t xml:space="preserve"> </w:t>
      </w:r>
      <w:r w:rsidRPr="00440995">
        <w:rPr>
          <w:sz w:val="24"/>
          <w:szCs w:val="24"/>
          <w:lang w:val="en-US"/>
        </w:rPr>
        <w:t xml:space="preserve">that is consistent across all </w:t>
      </w:r>
      <w:r w:rsidR="00065E4A">
        <w:rPr>
          <w:sz w:val="24"/>
          <w:szCs w:val="24"/>
          <w:lang w:val="en-US"/>
        </w:rPr>
        <w:t xml:space="preserve">EU </w:t>
      </w:r>
      <w:r w:rsidRPr="00440995">
        <w:rPr>
          <w:sz w:val="24"/>
          <w:szCs w:val="24"/>
          <w:lang w:val="en-US"/>
        </w:rPr>
        <w:t>member states.</w:t>
      </w:r>
    </w:p>
    <w:p w:rsidR="00D66C47" w:rsidRPr="00440995" w:rsidRDefault="00D66C47" w:rsidP="00E056DD">
      <w:pPr>
        <w:spacing w:before="240" w:line="360" w:lineRule="auto"/>
        <w:rPr>
          <w:sz w:val="24"/>
          <w:szCs w:val="24"/>
          <w:lang w:val="en-US"/>
        </w:rPr>
      </w:pPr>
      <w:r w:rsidRPr="00440995">
        <w:rPr>
          <w:sz w:val="24"/>
          <w:szCs w:val="24"/>
          <w:lang w:val="en-US"/>
        </w:rPr>
        <w:t xml:space="preserve">The </w:t>
      </w:r>
      <w:r w:rsidR="00204829">
        <w:rPr>
          <w:sz w:val="24"/>
          <w:szCs w:val="24"/>
          <w:lang w:val="en-US"/>
        </w:rPr>
        <w:t>supply</w:t>
      </w:r>
      <w:r w:rsidR="00204829" w:rsidRPr="00440995">
        <w:rPr>
          <w:sz w:val="24"/>
          <w:szCs w:val="24"/>
          <w:lang w:val="en-US"/>
        </w:rPr>
        <w:t xml:space="preserve"> </w:t>
      </w:r>
      <w:r w:rsidRPr="00440995">
        <w:rPr>
          <w:sz w:val="24"/>
          <w:szCs w:val="24"/>
          <w:lang w:val="en-US"/>
        </w:rPr>
        <w:t xml:space="preserve">by the relevant European Supervisory Authority, EIOPA, of harmonized reporting templates for the purpose of supervising insurance corporations under the Solvency II </w:t>
      </w:r>
      <w:r w:rsidR="00F52549">
        <w:rPr>
          <w:sz w:val="24"/>
          <w:szCs w:val="24"/>
          <w:lang w:val="en-US"/>
        </w:rPr>
        <w:t>forms an improved</w:t>
      </w:r>
      <w:r w:rsidR="00311C65" w:rsidRPr="00440995">
        <w:rPr>
          <w:sz w:val="24"/>
          <w:szCs w:val="24"/>
          <w:lang w:val="en-US"/>
        </w:rPr>
        <w:t xml:space="preserve"> background </w:t>
      </w:r>
      <w:r w:rsidR="00065E4A">
        <w:rPr>
          <w:sz w:val="24"/>
          <w:szCs w:val="24"/>
          <w:lang w:val="en-US"/>
        </w:rPr>
        <w:t xml:space="preserve">to </w:t>
      </w:r>
      <w:r w:rsidR="00311C65" w:rsidRPr="00440995">
        <w:rPr>
          <w:sz w:val="24"/>
          <w:szCs w:val="24"/>
          <w:lang w:val="en-US"/>
        </w:rPr>
        <w:t xml:space="preserve">collect enhanced ICPF statistics by </w:t>
      </w:r>
      <w:r w:rsidRPr="00440995">
        <w:rPr>
          <w:sz w:val="24"/>
          <w:szCs w:val="24"/>
          <w:lang w:val="en-US"/>
        </w:rPr>
        <w:t>adopting a</w:t>
      </w:r>
      <w:r w:rsidR="00311C65" w:rsidRPr="00440995">
        <w:rPr>
          <w:sz w:val="24"/>
          <w:szCs w:val="24"/>
          <w:lang w:val="en-US"/>
        </w:rPr>
        <w:t xml:space="preserve">n </w:t>
      </w:r>
      <w:r w:rsidR="00065E4A" w:rsidRPr="00440995">
        <w:rPr>
          <w:sz w:val="24"/>
          <w:szCs w:val="24"/>
          <w:lang w:val="en-US"/>
        </w:rPr>
        <w:t>ad</w:t>
      </w:r>
      <w:r w:rsidR="00065E4A">
        <w:rPr>
          <w:sz w:val="24"/>
          <w:szCs w:val="24"/>
          <w:lang w:val="en-US"/>
        </w:rPr>
        <w:t>-</w:t>
      </w:r>
      <w:r w:rsidR="00311C65" w:rsidRPr="00440995">
        <w:rPr>
          <w:sz w:val="24"/>
          <w:szCs w:val="24"/>
          <w:lang w:val="en-US"/>
        </w:rPr>
        <w:t>hoc</w:t>
      </w:r>
      <w:r w:rsidRPr="00440995">
        <w:rPr>
          <w:sz w:val="24"/>
          <w:szCs w:val="24"/>
          <w:lang w:val="en-US"/>
        </w:rPr>
        <w:t xml:space="preserve"> regulation.</w:t>
      </w:r>
      <w:r w:rsidR="006B1EF7" w:rsidRPr="00440995">
        <w:rPr>
          <w:sz w:val="24"/>
          <w:szCs w:val="24"/>
          <w:lang w:val="en-US"/>
        </w:rPr>
        <w:t xml:space="preserve">  </w:t>
      </w:r>
    </w:p>
    <w:p w:rsidR="00DD57D3" w:rsidRPr="00DD57D3" w:rsidRDefault="00DD57D3" w:rsidP="00DD57D3">
      <w:pPr>
        <w:spacing w:before="240" w:line="360" w:lineRule="auto"/>
        <w:rPr>
          <w:sz w:val="24"/>
          <w:szCs w:val="24"/>
          <w:lang w:val="en-US"/>
        </w:rPr>
      </w:pPr>
      <w:r w:rsidRPr="00DD57D3">
        <w:rPr>
          <w:b/>
          <w:i/>
          <w:sz w:val="24"/>
          <w:szCs w:val="24"/>
          <w:lang w:val="en-US"/>
        </w:rPr>
        <w:t>1.3</w:t>
      </w:r>
      <w:r w:rsidR="00C82398">
        <w:rPr>
          <w:b/>
          <w:i/>
          <w:sz w:val="24"/>
          <w:szCs w:val="24"/>
          <w:lang w:val="en-US"/>
        </w:rPr>
        <w:t xml:space="preserve"> </w:t>
      </w:r>
      <w:r w:rsidRPr="00DD57D3">
        <w:rPr>
          <w:b/>
          <w:i/>
          <w:sz w:val="24"/>
          <w:szCs w:val="24"/>
          <w:lang w:val="en-US"/>
        </w:rPr>
        <w:t>Setting up a regulation for ICPF statistics compliant with ESA 2010</w:t>
      </w:r>
    </w:p>
    <w:p w:rsidR="005A61BF" w:rsidRDefault="005A61BF" w:rsidP="005A61BF">
      <w:pPr>
        <w:autoSpaceDE w:val="0"/>
        <w:autoSpaceDN w:val="0"/>
        <w:adjustRightInd w:val="0"/>
        <w:spacing w:before="240" w:line="360" w:lineRule="auto"/>
        <w:rPr>
          <w:sz w:val="24"/>
          <w:szCs w:val="24"/>
          <w:lang w:val="en-US"/>
        </w:rPr>
      </w:pPr>
      <w:r w:rsidRPr="005A61BF">
        <w:rPr>
          <w:sz w:val="24"/>
          <w:szCs w:val="24"/>
          <w:lang w:val="en-US"/>
        </w:rPr>
        <w:t>In the ECB framework, new requirements for statistics can be grouped into three main categories:</w:t>
      </w:r>
    </w:p>
    <w:p w:rsidR="005A61BF" w:rsidRPr="005A61BF" w:rsidRDefault="007D4B68" w:rsidP="005A61BF">
      <w:pPr>
        <w:autoSpaceDE w:val="0"/>
        <w:autoSpaceDN w:val="0"/>
        <w:adjustRightInd w:val="0"/>
        <w:spacing w:before="240" w:line="360" w:lineRule="auto"/>
        <w:rPr>
          <w:sz w:val="24"/>
          <w:szCs w:val="24"/>
          <w:lang w:val="en-US"/>
        </w:rPr>
      </w:pPr>
      <w:r>
        <w:rPr>
          <w:sz w:val="24"/>
          <w:szCs w:val="24"/>
          <w:lang w:val="en-US"/>
        </w:rPr>
        <w:t xml:space="preserve">-    </w:t>
      </w:r>
      <w:r w:rsidR="001503EA">
        <w:rPr>
          <w:sz w:val="24"/>
          <w:szCs w:val="24"/>
          <w:lang w:val="en-US"/>
        </w:rPr>
        <w:t xml:space="preserve">Simple fine-tuning </w:t>
      </w:r>
      <w:r w:rsidR="005A61BF" w:rsidRPr="005A61BF">
        <w:rPr>
          <w:sz w:val="24"/>
          <w:szCs w:val="24"/>
          <w:lang w:val="en-US"/>
        </w:rPr>
        <w:t>measures which are included in the internal ECB work programs</w:t>
      </w:r>
    </w:p>
    <w:p w:rsidR="005A61BF" w:rsidRPr="005A61BF" w:rsidRDefault="007D4B68" w:rsidP="005A61BF">
      <w:pPr>
        <w:autoSpaceDE w:val="0"/>
        <w:autoSpaceDN w:val="0"/>
        <w:adjustRightInd w:val="0"/>
        <w:spacing w:before="240" w:line="360" w:lineRule="auto"/>
        <w:rPr>
          <w:sz w:val="24"/>
          <w:szCs w:val="24"/>
          <w:lang w:val="en-US"/>
        </w:rPr>
      </w:pPr>
      <w:r>
        <w:rPr>
          <w:sz w:val="24"/>
          <w:szCs w:val="24"/>
          <w:lang w:val="en-US"/>
        </w:rPr>
        <w:t>-   I</w:t>
      </w:r>
      <w:r w:rsidR="005A61BF" w:rsidRPr="005A61BF">
        <w:rPr>
          <w:sz w:val="24"/>
          <w:szCs w:val="24"/>
          <w:lang w:val="en-US"/>
        </w:rPr>
        <w:t>nterim data collections based on existing data sources called “short-term approaches”</w:t>
      </w:r>
    </w:p>
    <w:p w:rsidR="001503EA" w:rsidRDefault="007D4B68" w:rsidP="007D4B68">
      <w:pPr>
        <w:autoSpaceDE w:val="0"/>
        <w:autoSpaceDN w:val="0"/>
        <w:adjustRightInd w:val="0"/>
        <w:spacing w:before="240" w:line="360" w:lineRule="auto"/>
        <w:rPr>
          <w:sz w:val="24"/>
          <w:szCs w:val="24"/>
          <w:lang w:val="en-US"/>
        </w:rPr>
      </w:pPr>
      <w:r>
        <w:rPr>
          <w:sz w:val="24"/>
          <w:szCs w:val="24"/>
          <w:lang w:val="en-US"/>
        </w:rPr>
        <w:t xml:space="preserve">-  </w:t>
      </w:r>
      <w:r w:rsidR="005A61BF" w:rsidRPr="005A61BF">
        <w:rPr>
          <w:sz w:val="24"/>
          <w:szCs w:val="24"/>
          <w:lang w:val="en-US"/>
        </w:rPr>
        <w:t>The production of new or substantially enhanced statistics with an impact on reporting agents : subject to a new regulation and a merits and costs procedure</w:t>
      </w:r>
    </w:p>
    <w:p w:rsidR="008A50AB" w:rsidRPr="00440995" w:rsidRDefault="007D4B68" w:rsidP="00E056DD">
      <w:pPr>
        <w:autoSpaceDE w:val="0"/>
        <w:autoSpaceDN w:val="0"/>
        <w:adjustRightInd w:val="0"/>
        <w:spacing w:before="240" w:line="360" w:lineRule="auto"/>
        <w:rPr>
          <w:sz w:val="24"/>
          <w:szCs w:val="24"/>
          <w:lang w:val="en-US"/>
        </w:rPr>
      </w:pPr>
      <w:r>
        <w:rPr>
          <w:sz w:val="24"/>
          <w:szCs w:val="24"/>
          <w:lang w:val="en-US"/>
        </w:rPr>
        <w:t>U</w:t>
      </w:r>
      <w:r w:rsidR="000867E4" w:rsidRPr="00440995">
        <w:rPr>
          <w:sz w:val="24"/>
          <w:szCs w:val="24"/>
          <w:lang w:val="en-US"/>
        </w:rPr>
        <w:t>ntil 2009</w:t>
      </w:r>
      <w:r w:rsidR="00065E4A">
        <w:rPr>
          <w:sz w:val="24"/>
          <w:szCs w:val="24"/>
          <w:lang w:val="en-US"/>
        </w:rPr>
        <w:t>,</w:t>
      </w:r>
      <w:r w:rsidR="000867E4" w:rsidRPr="00440995">
        <w:rPr>
          <w:sz w:val="24"/>
          <w:szCs w:val="24"/>
          <w:lang w:val="en-US"/>
        </w:rPr>
        <w:t xml:space="preserve"> the EU framework legislation on ECB statistics (Council Regulation (EC) N</w:t>
      </w:r>
      <w:r w:rsidR="00C67501">
        <w:rPr>
          <w:sz w:val="24"/>
          <w:szCs w:val="24"/>
          <w:lang w:val="en-US"/>
        </w:rPr>
        <w:t>°</w:t>
      </w:r>
      <w:r w:rsidR="000867E4" w:rsidRPr="00440995">
        <w:rPr>
          <w:sz w:val="24"/>
          <w:szCs w:val="24"/>
          <w:lang w:val="en-US"/>
        </w:rPr>
        <w:t xml:space="preserve"> 2533/98) excluded</w:t>
      </w:r>
      <w:r>
        <w:rPr>
          <w:sz w:val="24"/>
          <w:szCs w:val="24"/>
          <w:lang w:val="en-US"/>
        </w:rPr>
        <w:t xml:space="preserve"> </w:t>
      </w:r>
      <w:r w:rsidR="000867E4" w:rsidRPr="00440995">
        <w:rPr>
          <w:sz w:val="24"/>
          <w:szCs w:val="24"/>
          <w:lang w:val="en-US"/>
        </w:rPr>
        <w:t xml:space="preserve">insurance corporations and pension funds (S.125 in the ESA 95 coding) from the reference population to which the ECB could address statistical regulations. </w:t>
      </w:r>
      <w:r w:rsidR="00772F6F" w:rsidRPr="00440995">
        <w:rPr>
          <w:sz w:val="24"/>
          <w:szCs w:val="24"/>
          <w:lang w:val="en-US"/>
        </w:rPr>
        <w:t>This is no more the case since the amendment to the EU framework legislation</w:t>
      </w:r>
      <w:r w:rsidR="00772F6F" w:rsidRPr="00E056DD">
        <w:rPr>
          <w:rStyle w:val="Appelnotedebasdep"/>
          <w:sz w:val="16"/>
          <w:szCs w:val="16"/>
          <w:lang w:val="en-US"/>
        </w:rPr>
        <w:footnoteReference w:id="4"/>
      </w:r>
      <w:r w:rsidR="00772F6F" w:rsidRPr="004851EB">
        <w:rPr>
          <w:rStyle w:val="Appelnotedebasdep"/>
          <w:sz w:val="16"/>
          <w:szCs w:val="16"/>
          <w:lang w:val="en-US"/>
        </w:rPr>
        <w:t xml:space="preserve"> </w:t>
      </w:r>
      <w:r w:rsidR="00772F6F" w:rsidRPr="00440995">
        <w:rPr>
          <w:sz w:val="24"/>
          <w:szCs w:val="24"/>
          <w:lang w:val="en-US"/>
        </w:rPr>
        <w:t>on ECB statistic (Council Regulation (EC) No 951/2009 amending Council Regulation (EC) No 2533/98) now includes euro area insurance corporations and pension funds in the ECB’s reference reporting population.</w:t>
      </w:r>
    </w:p>
    <w:p w:rsidR="00A02FEF" w:rsidRPr="00B171A7" w:rsidRDefault="00CC0ED0" w:rsidP="00E056DD">
      <w:pPr>
        <w:autoSpaceDE w:val="0"/>
        <w:autoSpaceDN w:val="0"/>
        <w:adjustRightInd w:val="0"/>
        <w:spacing w:before="240" w:line="360" w:lineRule="auto"/>
        <w:rPr>
          <w:sz w:val="24"/>
          <w:szCs w:val="24"/>
          <w:lang w:val="en-US"/>
        </w:rPr>
      </w:pPr>
      <w:r>
        <w:rPr>
          <w:sz w:val="24"/>
          <w:szCs w:val="24"/>
          <w:lang w:val="en-US"/>
        </w:rPr>
        <w:t>In this context, t</w:t>
      </w:r>
      <w:r w:rsidR="00C67501">
        <w:rPr>
          <w:sz w:val="24"/>
          <w:szCs w:val="24"/>
          <w:lang w:val="en-US"/>
        </w:rPr>
        <w:t xml:space="preserve">he </w:t>
      </w:r>
      <w:r w:rsidR="008A50AB" w:rsidRPr="00440995">
        <w:rPr>
          <w:sz w:val="24"/>
          <w:szCs w:val="24"/>
          <w:lang w:val="en-US"/>
        </w:rPr>
        <w:t xml:space="preserve">ECB will issue </w:t>
      </w:r>
      <w:r w:rsidR="00065E4A">
        <w:rPr>
          <w:sz w:val="24"/>
          <w:szCs w:val="24"/>
          <w:lang w:val="en-US"/>
        </w:rPr>
        <w:t xml:space="preserve">a </w:t>
      </w:r>
      <w:r w:rsidR="008A50AB" w:rsidRPr="00440995">
        <w:rPr>
          <w:sz w:val="24"/>
          <w:szCs w:val="24"/>
          <w:lang w:val="en-US"/>
        </w:rPr>
        <w:t>regulation addressed to insurance corporations</w:t>
      </w:r>
      <w:r w:rsidR="002C5EE2" w:rsidRPr="00E056DD">
        <w:rPr>
          <w:rStyle w:val="Appelnotedebasdep"/>
          <w:sz w:val="16"/>
          <w:szCs w:val="16"/>
          <w:lang w:val="en-US"/>
        </w:rPr>
        <w:footnoteReference w:id="5"/>
      </w:r>
      <w:r w:rsidR="008A50AB" w:rsidRPr="00E056DD">
        <w:rPr>
          <w:rStyle w:val="Appelnotedebasdep"/>
          <w:sz w:val="16"/>
          <w:szCs w:val="16"/>
          <w:lang w:val="en-US"/>
        </w:rPr>
        <w:t xml:space="preserve"> </w:t>
      </w:r>
      <w:r w:rsidR="008A50AB" w:rsidRPr="00440995">
        <w:rPr>
          <w:sz w:val="24"/>
          <w:szCs w:val="24"/>
          <w:lang w:val="en-US"/>
        </w:rPr>
        <w:t>which will enable NCBs to derive, as far as possible, the required data from insurance corporations’ supervisory reportin</w:t>
      </w:r>
      <w:r w:rsidR="00171CF2">
        <w:rPr>
          <w:sz w:val="24"/>
          <w:szCs w:val="24"/>
          <w:lang w:val="en-US"/>
        </w:rPr>
        <w:t xml:space="preserve">g, thus </w:t>
      </w:r>
      <w:r w:rsidR="00BA4573">
        <w:rPr>
          <w:sz w:val="24"/>
          <w:szCs w:val="24"/>
          <w:lang w:val="en-US"/>
        </w:rPr>
        <w:t xml:space="preserve">reducing </w:t>
      </w:r>
      <w:r w:rsidR="008A50AB" w:rsidRPr="00440995">
        <w:rPr>
          <w:sz w:val="24"/>
          <w:szCs w:val="24"/>
          <w:lang w:val="en-US"/>
        </w:rPr>
        <w:t>their reporting burden.</w:t>
      </w:r>
    </w:p>
    <w:p w:rsidR="003E74C8" w:rsidRPr="00B35DB5" w:rsidRDefault="00A02FEF" w:rsidP="00E056DD">
      <w:pPr>
        <w:autoSpaceDE w:val="0"/>
        <w:autoSpaceDN w:val="0"/>
        <w:adjustRightInd w:val="0"/>
        <w:spacing w:before="240" w:line="360" w:lineRule="auto"/>
        <w:rPr>
          <w:sz w:val="24"/>
          <w:szCs w:val="24"/>
          <w:lang w:val="en-US"/>
        </w:rPr>
      </w:pPr>
      <w:r w:rsidRPr="00440995">
        <w:rPr>
          <w:sz w:val="24"/>
          <w:szCs w:val="24"/>
          <w:lang w:val="en-US"/>
        </w:rPr>
        <w:t xml:space="preserve">The regulation on insurance corporations will </w:t>
      </w:r>
      <w:r w:rsidR="005A1A56" w:rsidRPr="00440995">
        <w:rPr>
          <w:sz w:val="24"/>
          <w:szCs w:val="24"/>
          <w:lang w:val="en-US"/>
        </w:rPr>
        <w:t xml:space="preserve">also </w:t>
      </w:r>
      <w:r w:rsidRPr="00440995">
        <w:rPr>
          <w:sz w:val="24"/>
          <w:szCs w:val="24"/>
          <w:lang w:val="en-US"/>
        </w:rPr>
        <w:t>partly reflect the requirements of the ESA 2010.</w:t>
      </w:r>
      <w:r w:rsidR="005A1A56" w:rsidRPr="00440995">
        <w:rPr>
          <w:sz w:val="24"/>
          <w:szCs w:val="24"/>
          <w:lang w:val="en-US"/>
        </w:rPr>
        <w:t xml:space="preserve"> Indeed, u</w:t>
      </w:r>
      <w:r w:rsidRPr="00440995">
        <w:rPr>
          <w:sz w:val="24"/>
          <w:szCs w:val="24"/>
          <w:lang w:val="en-US"/>
        </w:rPr>
        <w:t>nlike the SNA</w:t>
      </w:r>
      <w:r w:rsidR="003225DE">
        <w:rPr>
          <w:sz w:val="24"/>
          <w:szCs w:val="24"/>
          <w:lang w:val="en-US"/>
        </w:rPr>
        <w:t xml:space="preserve"> 2008</w:t>
      </w:r>
      <w:r w:rsidRPr="00440995">
        <w:rPr>
          <w:sz w:val="24"/>
          <w:szCs w:val="24"/>
          <w:lang w:val="en-US"/>
        </w:rPr>
        <w:t xml:space="preserve"> and BPM</w:t>
      </w:r>
      <w:r w:rsidR="003225DE">
        <w:rPr>
          <w:sz w:val="24"/>
          <w:szCs w:val="24"/>
          <w:lang w:val="en-US"/>
        </w:rPr>
        <w:t>6</w:t>
      </w:r>
      <w:r w:rsidRPr="00440995">
        <w:rPr>
          <w:sz w:val="24"/>
          <w:szCs w:val="24"/>
          <w:lang w:val="en-US"/>
        </w:rPr>
        <w:t xml:space="preserve"> which essentially recommend best practice, </w:t>
      </w:r>
      <w:r w:rsidRPr="00440995">
        <w:rPr>
          <w:sz w:val="24"/>
          <w:szCs w:val="24"/>
          <w:lang w:val="en-US"/>
        </w:rPr>
        <w:lastRenderedPageBreak/>
        <w:t>the ESA</w:t>
      </w:r>
      <w:r w:rsidR="00FF3734">
        <w:rPr>
          <w:sz w:val="24"/>
          <w:szCs w:val="24"/>
          <w:lang w:val="en-US"/>
        </w:rPr>
        <w:t xml:space="preserve"> </w:t>
      </w:r>
      <w:r w:rsidRPr="00440995">
        <w:rPr>
          <w:sz w:val="24"/>
          <w:szCs w:val="24"/>
          <w:lang w:val="en-US"/>
        </w:rPr>
        <w:t>2010</w:t>
      </w:r>
      <w:r w:rsidRPr="00E056DD">
        <w:rPr>
          <w:rStyle w:val="Appelnotedebasdep"/>
          <w:sz w:val="16"/>
          <w:szCs w:val="16"/>
          <w:lang w:val="en-US"/>
        </w:rPr>
        <w:footnoteReference w:id="6"/>
      </w:r>
      <w:r w:rsidRPr="00440995">
        <w:rPr>
          <w:sz w:val="24"/>
          <w:szCs w:val="24"/>
          <w:lang w:val="en-US"/>
        </w:rPr>
        <w:t>, like the current ESA 95, is legally enforceable in the European Union as a European Parliament and Council regulation.</w:t>
      </w:r>
      <w:r w:rsidR="001234A4">
        <w:rPr>
          <w:sz w:val="24"/>
          <w:szCs w:val="24"/>
          <w:lang w:val="en-US"/>
        </w:rPr>
        <w:t xml:space="preserve"> </w:t>
      </w:r>
    </w:p>
    <w:p w:rsidR="002B0871" w:rsidRDefault="00C24720" w:rsidP="002B0871">
      <w:pPr>
        <w:autoSpaceDE w:val="0"/>
        <w:autoSpaceDN w:val="0"/>
        <w:adjustRightInd w:val="0"/>
        <w:spacing w:before="240" w:line="360" w:lineRule="auto"/>
        <w:rPr>
          <w:b/>
          <w:color w:val="1F497D" w:themeColor="text2"/>
          <w:sz w:val="24"/>
          <w:szCs w:val="24"/>
          <w:u w:val="single"/>
          <w:lang w:val="en-US"/>
        </w:rPr>
      </w:pPr>
      <w:r>
        <w:rPr>
          <w:sz w:val="24"/>
          <w:szCs w:val="24"/>
          <w:lang w:val="en-US"/>
        </w:rPr>
        <w:t xml:space="preserve">The information on </w:t>
      </w:r>
      <w:r w:rsidR="00D6686A">
        <w:rPr>
          <w:sz w:val="24"/>
          <w:szCs w:val="24"/>
          <w:lang w:val="en-US"/>
        </w:rPr>
        <w:t>counterpart s</w:t>
      </w:r>
      <w:r>
        <w:rPr>
          <w:sz w:val="24"/>
          <w:szCs w:val="24"/>
          <w:lang w:val="en-US"/>
        </w:rPr>
        <w:t>ector of the assets h</w:t>
      </w:r>
      <w:r w:rsidR="0054528B">
        <w:rPr>
          <w:sz w:val="24"/>
          <w:szCs w:val="24"/>
          <w:lang w:val="en-US"/>
        </w:rPr>
        <w:t>e</w:t>
      </w:r>
      <w:r>
        <w:rPr>
          <w:sz w:val="24"/>
          <w:szCs w:val="24"/>
          <w:lang w:val="en-US"/>
        </w:rPr>
        <w:t>ld by insurance co</w:t>
      </w:r>
      <w:r w:rsidR="0054528B">
        <w:rPr>
          <w:sz w:val="24"/>
          <w:szCs w:val="24"/>
          <w:lang w:val="en-US"/>
        </w:rPr>
        <w:t>rporations</w:t>
      </w:r>
      <w:r>
        <w:rPr>
          <w:sz w:val="24"/>
          <w:szCs w:val="24"/>
          <w:lang w:val="en-US"/>
        </w:rPr>
        <w:t xml:space="preserve"> (see </w:t>
      </w:r>
      <w:r w:rsidR="0054528B">
        <w:rPr>
          <w:sz w:val="24"/>
          <w:szCs w:val="24"/>
          <w:lang w:val="en-US"/>
        </w:rPr>
        <w:t xml:space="preserve">new </w:t>
      </w:r>
      <w:r>
        <w:rPr>
          <w:sz w:val="24"/>
          <w:szCs w:val="24"/>
          <w:lang w:val="en-US"/>
        </w:rPr>
        <w:t xml:space="preserve">requirements 2b, 3c and 4b in the annex) is part of the new requirements of the ESA 2010 </w:t>
      </w:r>
      <w:r w:rsidR="0054528B">
        <w:rPr>
          <w:sz w:val="24"/>
          <w:szCs w:val="24"/>
          <w:lang w:val="en-US"/>
        </w:rPr>
        <w:t>which require</w:t>
      </w:r>
      <w:r w:rsidR="00204829">
        <w:rPr>
          <w:sz w:val="24"/>
          <w:szCs w:val="24"/>
          <w:lang w:val="en-US"/>
        </w:rPr>
        <w:t>s</w:t>
      </w:r>
      <w:r w:rsidR="0054528B">
        <w:rPr>
          <w:sz w:val="24"/>
          <w:szCs w:val="24"/>
          <w:lang w:val="en-US"/>
        </w:rPr>
        <w:t xml:space="preserve"> </w:t>
      </w:r>
      <w:r>
        <w:rPr>
          <w:sz w:val="24"/>
          <w:szCs w:val="24"/>
          <w:lang w:val="en-US"/>
        </w:rPr>
        <w:t xml:space="preserve">a thorough details on </w:t>
      </w:r>
      <w:r w:rsidR="0054528B">
        <w:rPr>
          <w:sz w:val="24"/>
          <w:szCs w:val="24"/>
          <w:lang w:val="en-US"/>
        </w:rPr>
        <w:t xml:space="preserve">sub sectors, on </w:t>
      </w:r>
      <w:r>
        <w:rPr>
          <w:sz w:val="24"/>
          <w:szCs w:val="24"/>
          <w:lang w:val="en-US"/>
        </w:rPr>
        <w:t xml:space="preserve">who to whom </w:t>
      </w:r>
      <w:r w:rsidR="0054528B">
        <w:rPr>
          <w:sz w:val="24"/>
          <w:szCs w:val="24"/>
          <w:lang w:val="en-US"/>
        </w:rPr>
        <w:t xml:space="preserve">basis, that </w:t>
      </w:r>
      <w:r>
        <w:rPr>
          <w:sz w:val="24"/>
          <w:szCs w:val="24"/>
          <w:lang w:val="en-US"/>
        </w:rPr>
        <w:t xml:space="preserve">will be </w:t>
      </w:r>
      <w:r w:rsidR="0054528B">
        <w:rPr>
          <w:sz w:val="24"/>
          <w:szCs w:val="24"/>
          <w:lang w:val="en-US"/>
        </w:rPr>
        <w:t xml:space="preserve">available </w:t>
      </w:r>
      <w:r>
        <w:rPr>
          <w:sz w:val="24"/>
          <w:szCs w:val="24"/>
          <w:lang w:val="en-US"/>
        </w:rPr>
        <w:t>from September 2015</w:t>
      </w:r>
      <w:r w:rsidR="00D6686A">
        <w:rPr>
          <w:sz w:val="24"/>
          <w:szCs w:val="24"/>
          <w:lang w:val="en-US"/>
        </w:rPr>
        <w:t xml:space="preserve"> </w:t>
      </w:r>
      <w:r w:rsidR="00204829">
        <w:rPr>
          <w:sz w:val="24"/>
          <w:szCs w:val="24"/>
          <w:lang w:val="en-US"/>
        </w:rPr>
        <w:t xml:space="preserve">in </w:t>
      </w:r>
      <w:r w:rsidR="00D6686A">
        <w:rPr>
          <w:sz w:val="24"/>
          <w:szCs w:val="24"/>
          <w:lang w:val="en-US"/>
        </w:rPr>
        <w:t>the financial accounts</w:t>
      </w:r>
      <w:r>
        <w:rPr>
          <w:sz w:val="24"/>
          <w:szCs w:val="24"/>
          <w:lang w:val="en-US"/>
        </w:rPr>
        <w:t>.</w:t>
      </w:r>
    </w:p>
    <w:p w:rsidR="009E29C9" w:rsidRDefault="009E29C9" w:rsidP="00E056DD">
      <w:pPr>
        <w:spacing w:before="240" w:line="360" w:lineRule="auto"/>
        <w:rPr>
          <w:b/>
          <w:color w:val="1F497D" w:themeColor="text2"/>
          <w:sz w:val="24"/>
          <w:szCs w:val="24"/>
          <w:u w:val="single"/>
          <w:lang w:val="en-US"/>
        </w:rPr>
      </w:pPr>
    </w:p>
    <w:p w:rsidR="001105AF" w:rsidRPr="00B171A7" w:rsidRDefault="008264E1" w:rsidP="00E056DD">
      <w:pPr>
        <w:spacing w:before="240" w:line="360" w:lineRule="auto"/>
        <w:rPr>
          <w:b/>
          <w:color w:val="1F497D" w:themeColor="text2"/>
          <w:sz w:val="24"/>
          <w:szCs w:val="24"/>
          <w:u w:val="single"/>
          <w:lang w:val="en-US"/>
        </w:rPr>
      </w:pPr>
      <w:r w:rsidRPr="00440995">
        <w:rPr>
          <w:b/>
          <w:color w:val="1F497D" w:themeColor="text2"/>
          <w:sz w:val="24"/>
          <w:szCs w:val="24"/>
          <w:u w:val="single"/>
          <w:lang w:val="en-US"/>
        </w:rPr>
        <w:t>2. Towards</w:t>
      </w:r>
      <w:r w:rsidR="006F50FA" w:rsidRPr="00440995">
        <w:rPr>
          <w:b/>
          <w:color w:val="1F497D" w:themeColor="text2"/>
          <w:sz w:val="24"/>
          <w:szCs w:val="24"/>
          <w:u w:val="single"/>
          <w:lang w:val="en-US"/>
        </w:rPr>
        <w:t xml:space="preserve"> a </w:t>
      </w:r>
      <w:r w:rsidR="00D7379E" w:rsidRPr="00440995">
        <w:rPr>
          <w:b/>
          <w:color w:val="1F497D" w:themeColor="text2"/>
          <w:sz w:val="24"/>
          <w:szCs w:val="24"/>
          <w:u w:val="single"/>
          <w:lang w:val="en-US"/>
        </w:rPr>
        <w:t>regulation for ICPF statistics</w:t>
      </w:r>
      <w:r w:rsidR="006F50FA" w:rsidRPr="00440995">
        <w:rPr>
          <w:b/>
          <w:color w:val="1F497D" w:themeColor="text2"/>
          <w:sz w:val="24"/>
          <w:szCs w:val="24"/>
          <w:u w:val="single"/>
          <w:lang w:val="en-US"/>
        </w:rPr>
        <w:t xml:space="preserve">: implementation of the merits </w:t>
      </w:r>
      <w:r w:rsidR="00FF3734">
        <w:rPr>
          <w:b/>
          <w:color w:val="1F497D" w:themeColor="text2"/>
          <w:sz w:val="24"/>
          <w:szCs w:val="24"/>
          <w:u w:val="single"/>
          <w:lang w:val="en-US"/>
        </w:rPr>
        <w:t>and</w:t>
      </w:r>
      <w:r w:rsidR="00FF3734" w:rsidRPr="00440995">
        <w:rPr>
          <w:b/>
          <w:color w:val="1F497D" w:themeColor="text2"/>
          <w:sz w:val="24"/>
          <w:szCs w:val="24"/>
          <w:u w:val="single"/>
          <w:lang w:val="en-US"/>
        </w:rPr>
        <w:t xml:space="preserve"> </w:t>
      </w:r>
      <w:r w:rsidR="006F50FA" w:rsidRPr="00440995">
        <w:rPr>
          <w:b/>
          <w:color w:val="1F497D" w:themeColor="text2"/>
          <w:sz w:val="24"/>
          <w:szCs w:val="24"/>
          <w:u w:val="single"/>
          <w:lang w:val="en-US"/>
        </w:rPr>
        <w:t>costs</w:t>
      </w:r>
      <w:r w:rsidR="00D7379E" w:rsidRPr="00440995">
        <w:rPr>
          <w:b/>
          <w:color w:val="1F497D" w:themeColor="text2"/>
          <w:sz w:val="24"/>
          <w:szCs w:val="24"/>
          <w:u w:val="single"/>
          <w:lang w:val="en-US"/>
        </w:rPr>
        <w:t xml:space="preserve"> </w:t>
      </w:r>
      <w:r w:rsidR="00FF3734">
        <w:rPr>
          <w:b/>
          <w:color w:val="1F497D" w:themeColor="text2"/>
          <w:sz w:val="24"/>
          <w:szCs w:val="24"/>
          <w:u w:val="single"/>
          <w:lang w:val="en-US"/>
        </w:rPr>
        <w:t>procedure</w:t>
      </w:r>
    </w:p>
    <w:p w:rsidR="006F50FA" w:rsidRPr="00B171A7" w:rsidRDefault="006F50FA" w:rsidP="00E056DD">
      <w:pPr>
        <w:spacing w:before="240" w:line="360" w:lineRule="auto"/>
        <w:rPr>
          <w:b/>
          <w:i/>
          <w:sz w:val="24"/>
          <w:szCs w:val="24"/>
          <w:lang w:val="en-US"/>
        </w:rPr>
      </w:pPr>
      <w:r w:rsidRPr="00440995">
        <w:rPr>
          <w:b/>
          <w:i/>
          <w:sz w:val="24"/>
          <w:szCs w:val="24"/>
          <w:lang w:val="en-US"/>
        </w:rPr>
        <w:t>2.1 The merits &amp; costs procedure as to reduce the reporting burden</w:t>
      </w:r>
      <w:r w:rsidR="00FF3734">
        <w:rPr>
          <w:b/>
          <w:i/>
          <w:sz w:val="24"/>
          <w:szCs w:val="24"/>
          <w:lang w:val="en-US"/>
        </w:rPr>
        <w:t xml:space="preserve"> of respondents</w:t>
      </w:r>
    </w:p>
    <w:p w:rsidR="007A6413" w:rsidRDefault="006F50FA" w:rsidP="00E056DD">
      <w:pPr>
        <w:pStyle w:val="Paragraphedeliste"/>
        <w:numPr>
          <w:ilvl w:val="0"/>
          <w:numId w:val="18"/>
        </w:numPr>
        <w:spacing w:before="240" w:line="360" w:lineRule="auto"/>
        <w:ind w:left="567"/>
        <w:rPr>
          <w:sz w:val="24"/>
          <w:szCs w:val="24"/>
          <w:lang w:val="en-US"/>
        </w:rPr>
      </w:pPr>
      <w:r w:rsidRPr="00440995">
        <w:rPr>
          <w:sz w:val="24"/>
          <w:szCs w:val="24"/>
          <w:lang w:val="en-US"/>
        </w:rPr>
        <w:t xml:space="preserve">Core principle of the ESCB collection of data : “collection of the necessary statistical information of an appropriate quality while </w:t>
      </w:r>
      <w:r w:rsidR="00BA4573">
        <w:rPr>
          <w:sz w:val="24"/>
          <w:szCs w:val="24"/>
          <w:lang w:val="en-US"/>
        </w:rPr>
        <w:t>trying to keep</w:t>
      </w:r>
      <w:r w:rsidRPr="00440995">
        <w:rPr>
          <w:sz w:val="24"/>
          <w:szCs w:val="24"/>
          <w:lang w:val="en-US"/>
        </w:rPr>
        <w:t xml:space="preserve"> the </w:t>
      </w:r>
      <w:r w:rsidRPr="00440995">
        <w:rPr>
          <w:sz w:val="24"/>
          <w:szCs w:val="24"/>
          <w:u w:val="single"/>
          <w:lang w:val="en-US"/>
        </w:rPr>
        <w:t xml:space="preserve">reporting burden </w:t>
      </w:r>
      <w:r w:rsidRPr="00440995">
        <w:rPr>
          <w:sz w:val="24"/>
          <w:szCs w:val="24"/>
          <w:lang w:val="en-US"/>
        </w:rPr>
        <w:t>on respondents to a</w:t>
      </w:r>
      <w:r w:rsidR="00BA4573">
        <w:rPr>
          <w:sz w:val="24"/>
          <w:szCs w:val="24"/>
          <w:lang w:val="en-US"/>
        </w:rPr>
        <w:t>n acceptable level</w:t>
      </w:r>
      <w:r w:rsidRPr="00440995">
        <w:rPr>
          <w:sz w:val="24"/>
          <w:szCs w:val="24"/>
          <w:lang w:val="en-US"/>
        </w:rPr>
        <w:t>”</w:t>
      </w:r>
      <w:r w:rsidR="00E6102D">
        <w:rPr>
          <w:sz w:val="24"/>
          <w:szCs w:val="24"/>
          <w:lang w:val="en-US"/>
        </w:rPr>
        <w:t xml:space="preserve"> </w:t>
      </w:r>
    </w:p>
    <w:p w:rsidR="00042438" w:rsidRPr="00440995" w:rsidRDefault="007A6413" w:rsidP="00E056DD">
      <w:pPr>
        <w:autoSpaceDE w:val="0"/>
        <w:autoSpaceDN w:val="0"/>
        <w:adjustRightInd w:val="0"/>
        <w:spacing w:before="240" w:line="360" w:lineRule="auto"/>
        <w:rPr>
          <w:sz w:val="24"/>
          <w:szCs w:val="24"/>
          <w:lang w:val="en-US"/>
        </w:rPr>
      </w:pPr>
      <w:r w:rsidRPr="00440995">
        <w:rPr>
          <w:sz w:val="24"/>
          <w:szCs w:val="24"/>
          <w:lang w:val="en-US"/>
        </w:rPr>
        <w:t xml:space="preserve">The ECB </w:t>
      </w:r>
      <w:r w:rsidR="00FF3734">
        <w:rPr>
          <w:sz w:val="24"/>
          <w:szCs w:val="24"/>
          <w:lang w:val="en-US"/>
        </w:rPr>
        <w:t>r</w:t>
      </w:r>
      <w:r w:rsidRPr="00440995">
        <w:rPr>
          <w:sz w:val="24"/>
          <w:szCs w:val="24"/>
          <w:lang w:val="en-US"/>
        </w:rPr>
        <w:t>egulation</w:t>
      </w:r>
      <w:r w:rsidR="00FF3734">
        <w:rPr>
          <w:sz w:val="24"/>
          <w:szCs w:val="24"/>
          <w:lang w:val="en-US"/>
        </w:rPr>
        <w:t xml:space="preserve"> on ICs statistics </w:t>
      </w:r>
      <w:r w:rsidR="00E6102D">
        <w:rPr>
          <w:sz w:val="24"/>
          <w:szCs w:val="24"/>
          <w:lang w:val="en-US"/>
        </w:rPr>
        <w:t>will be addressed to euro area insurance c</w:t>
      </w:r>
      <w:r w:rsidRPr="00440995">
        <w:rPr>
          <w:sz w:val="24"/>
          <w:szCs w:val="24"/>
          <w:lang w:val="en-US"/>
        </w:rPr>
        <w:t xml:space="preserve">orporations. The procedure for issuing </w:t>
      </w:r>
      <w:r w:rsidR="00FF3734">
        <w:rPr>
          <w:sz w:val="24"/>
          <w:szCs w:val="24"/>
          <w:lang w:val="en-US"/>
        </w:rPr>
        <w:t>this r</w:t>
      </w:r>
      <w:r w:rsidRPr="00440995">
        <w:rPr>
          <w:sz w:val="24"/>
          <w:szCs w:val="24"/>
          <w:lang w:val="en-US"/>
        </w:rPr>
        <w:t>egulation entails a consultation on user requirements (merits) as well as a cost assessment exercise.</w:t>
      </w:r>
    </w:p>
    <w:p w:rsidR="00846FD2" w:rsidRPr="00440995" w:rsidRDefault="00846FD2" w:rsidP="00E056DD">
      <w:pPr>
        <w:spacing w:before="240" w:line="360" w:lineRule="auto"/>
        <w:rPr>
          <w:sz w:val="24"/>
          <w:szCs w:val="24"/>
          <w:lang w:val="en-US"/>
        </w:rPr>
      </w:pPr>
      <w:r w:rsidRPr="00440995">
        <w:rPr>
          <w:sz w:val="24"/>
          <w:szCs w:val="24"/>
          <w:lang w:val="en-US"/>
        </w:rPr>
        <w:t>The merits and costs procedure was introduced in 2000 by the Governing Council of the ECB with the objective of ensuring that the reporting burden is kept to a minimum and that statistics are collected and compiled in a cost-efficient way. Indeed, the Council Regulation</w:t>
      </w:r>
      <w:r w:rsidRPr="00E056DD">
        <w:rPr>
          <w:rStyle w:val="Appelnotedebasdep"/>
          <w:sz w:val="16"/>
          <w:szCs w:val="16"/>
          <w:lang w:val="en-US"/>
        </w:rPr>
        <w:footnoteReference w:id="7"/>
      </w:r>
      <w:r w:rsidRPr="00440995">
        <w:rPr>
          <w:sz w:val="24"/>
          <w:szCs w:val="24"/>
          <w:lang w:val="en-US"/>
        </w:rPr>
        <w:t xml:space="preserve"> requires the ECB to satisfy user needs with high quality statistics while keeping the burden placed on reporting agents to a minimum. To this end, well-defined approaches in order to identify new statistical requirements and to develop new statistics or enhance existing statistics, taking account of related merits and </w:t>
      </w:r>
      <w:r w:rsidR="00204829" w:rsidRPr="00440995">
        <w:rPr>
          <w:sz w:val="24"/>
          <w:szCs w:val="24"/>
          <w:lang w:val="en-US"/>
        </w:rPr>
        <w:t>costs</w:t>
      </w:r>
      <w:r w:rsidR="00204829">
        <w:rPr>
          <w:sz w:val="24"/>
          <w:szCs w:val="24"/>
          <w:lang w:val="en-US"/>
        </w:rPr>
        <w:t>,</w:t>
      </w:r>
      <w:r w:rsidRPr="00440995">
        <w:rPr>
          <w:sz w:val="24"/>
          <w:szCs w:val="24"/>
          <w:lang w:val="en-US"/>
        </w:rPr>
        <w:t xml:space="preserve"> are part of quality assurance in the ESCB.</w:t>
      </w:r>
    </w:p>
    <w:p w:rsidR="00846FD2" w:rsidRPr="00B171A7" w:rsidRDefault="006F50FA" w:rsidP="00E056DD">
      <w:pPr>
        <w:pStyle w:val="Paragraphedeliste"/>
        <w:numPr>
          <w:ilvl w:val="0"/>
          <w:numId w:val="11"/>
        </w:numPr>
        <w:spacing w:before="240" w:line="360" w:lineRule="auto"/>
        <w:ind w:left="567" w:hanging="283"/>
        <w:rPr>
          <w:sz w:val="24"/>
          <w:szCs w:val="24"/>
          <w:lang w:val="en-US"/>
        </w:rPr>
      </w:pPr>
      <w:r w:rsidRPr="00440995">
        <w:rPr>
          <w:sz w:val="24"/>
          <w:szCs w:val="24"/>
          <w:lang w:val="en-US"/>
        </w:rPr>
        <w:t>Main steps of the merits &amp; costs procedure</w:t>
      </w:r>
      <w:r w:rsidR="00130A0A">
        <w:rPr>
          <w:sz w:val="24"/>
          <w:szCs w:val="24"/>
          <w:lang w:val="en-US"/>
        </w:rPr>
        <w:t xml:space="preserve"> (start date</w:t>
      </w:r>
      <w:r w:rsidR="00204829">
        <w:rPr>
          <w:sz w:val="24"/>
          <w:szCs w:val="24"/>
          <w:lang w:val="en-US"/>
        </w:rPr>
        <w:t xml:space="preserve"> </w:t>
      </w:r>
      <w:r w:rsidR="00130A0A">
        <w:rPr>
          <w:sz w:val="24"/>
          <w:szCs w:val="24"/>
          <w:lang w:val="en-US"/>
        </w:rPr>
        <w:t>- end date of the step)</w:t>
      </w:r>
    </w:p>
    <w:p w:rsidR="0009581F" w:rsidRPr="00440995" w:rsidRDefault="0009581F" w:rsidP="00E056DD">
      <w:pPr>
        <w:spacing w:before="240" w:line="360" w:lineRule="auto"/>
        <w:rPr>
          <w:sz w:val="24"/>
          <w:szCs w:val="24"/>
          <w:lang w:val="en-US"/>
        </w:rPr>
      </w:pPr>
      <w:r w:rsidRPr="00440995">
        <w:rPr>
          <w:sz w:val="24"/>
          <w:szCs w:val="24"/>
          <w:lang w:val="en-US"/>
        </w:rPr>
        <w:lastRenderedPageBreak/>
        <w:t>The merits and costs procedure consi</w:t>
      </w:r>
      <w:r w:rsidR="00846FD2" w:rsidRPr="00440995">
        <w:rPr>
          <w:sz w:val="24"/>
          <w:szCs w:val="24"/>
          <w:lang w:val="en-US"/>
        </w:rPr>
        <w:t>sts of the following main steps</w:t>
      </w:r>
      <w:r w:rsidR="00A538E2" w:rsidRPr="00440995">
        <w:rPr>
          <w:sz w:val="24"/>
          <w:szCs w:val="24"/>
          <w:lang w:val="en-US"/>
        </w:rPr>
        <w:t xml:space="preserve">: </w:t>
      </w:r>
    </w:p>
    <w:p w:rsidR="0009581F" w:rsidRPr="00440995" w:rsidRDefault="0009581F" w:rsidP="00E056DD">
      <w:pPr>
        <w:spacing w:before="240" w:line="360" w:lineRule="auto"/>
        <w:rPr>
          <w:sz w:val="24"/>
          <w:szCs w:val="24"/>
          <w:lang w:val="en-US"/>
        </w:rPr>
      </w:pPr>
      <w:r w:rsidRPr="00440995">
        <w:rPr>
          <w:sz w:val="24"/>
          <w:szCs w:val="24"/>
          <w:lang w:val="en-US"/>
        </w:rPr>
        <w:t>Step I: An initial assessment is carried out</w:t>
      </w:r>
      <w:r w:rsidR="001503EA">
        <w:rPr>
          <w:sz w:val="24"/>
          <w:szCs w:val="24"/>
          <w:lang w:val="en-US"/>
        </w:rPr>
        <w:t xml:space="preserve"> by the ECB</w:t>
      </w:r>
      <w:r w:rsidRPr="00440995">
        <w:rPr>
          <w:sz w:val="24"/>
          <w:szCs w:val="24"/>
          <w:lang w:val="en-US"/>
        </w:rPr>
        <w:t xml:space="preserve">, including consultations with NCBs and possibly respondents, to determine whether or not new requirements can be met using existing statistics. </w:t>
      </w:r>
    </w:p>
    <w:p w:rsidR="0009581F" w:rsidRPr="00440995" w:rsidRDefault="0009581F" w:rsidP="00E056DD">
      <w:pPr>
        <w:spacing w:before="240" w:line="360" w:lineRule="auto"/>
        <w:rPr>
          <w:sz w:val="24"/>
          <w:szCs w:val="24"/>
          <w:lang w:val="en-US"/>
        </w:rPr>
      </w:pPr>
      <w:r w:rsidRPr="00440995">
        <w:rPr>
          <w:sz w:val="24"/>
          <w:szCs w:val="24"/>
          <w:lang w:val="en-US"/>
        </w:rPr>
        <w:t xml:space="preserve">Step II: </w:t>
      </w:r>
      <w:r w:rsidR="00130A0A">
        <w:rPr>
          <w:sz w:val="24"/>
          <w:szCs w:val="24"/>
          <w:lang w:val="en-US"/>
        </w:rPr>
        <w:t xml:space="preserve">(July 2012- October 2012) </w:t>
      </w:r>
      <w:r w:rsidRPr="00440995">
        <w:rPr>
          <w:sz w:val="24"/>
          <w:szCs w:val="24"/>
          <w:lang w:val="en-US"/>
        </w:rPr>
        <w:t>A fact-find</w:t>
      </w:r>
      <w:r w:rsidR="000D0047">
        <w:rPr>
          <w:sz w:val="24"/>
          <w:szCs w:val="24"/>
          <w:lang w:val="en-US"/>
        </w:rPr>
        <w:t xml:space="preserve">ing exercise </w:t>
      </w:r>
      <w:r w:rsidR="001503EA" w:rsidRPr="00440995">
        <w:rPr>
          <w:sz w:val="24"/>
          <w:szCs w:val="24"/>
          <w:lang w:val="en-US"/>
        </w:rPr>
        <w:t>carried ou</w:t>
      </w:r>
      <w:r w:rsidR="001503EA">
        <w:rPr>
          <w:sz w:val="24"/>
          <w:szCs w:val="24"/>
          <w:lang w:val="en-US"/>
        </w:rPr>
        <w:t xml:space="preserve">t by the ECB </w:t>
      </w:r>
      <w:r w:rsidR="000D0047">
        <w:rPr>
          <w:sz w:val="24"/>
          <w:szCs w:val="24"/>
          <w:lang w:val="en-US"/>
        </w:rPr>
        <w:t xml:space="preserve">is used to analyze </w:t>
      </w:r>
      <w:r w:rsidRPr="00440995">
        <w:rPr>
          <w:sz w:val="24"/>
          <w:szCs w:val="24"/>
          <w:lang w:val="en-US"/>
        </w:rPr>
        <w:t>the feasibility, significance and methodological aspects of specific requirements</w:t>
      </w:r>
      <w:r w:rsidR="00C67501">
        <w:rPr>
          <w:sz w:val="24"/>
          <w:szCs w:val="24"/>
          <w:lang w:val="en-US"/>
        </w:rPr>
        <w:t xml:space="preserve"> where NCBs and, if it is necessary respondents, can answer</w:t>
      </w:r>
      <w:r w:rsidRPr="00440995">
        <w:rPr>
          <w:sz w:val="24"/>
          <w:szCs w:val="24"/>
          <w:lang w:val="en-US"/>
        </w:rPr>
        <w:t>.</w:t>
      </w:r>
    </w:p>
    <w:p w:rsidR="0009581F" w:rsidRPr="00440995" w:rsidRDefault="0009581F" w:rsidP="00E056DD">
      <w:pPr>
        <w:spacing w:before="240" w:line="360" w:lineRule="auto"/>
        <w:rPr>
          <w:sz w:val="24"/>
          <w:szCs w:val="24"/>
          <w:lang w:val="en-US"/>
        </w:rPr>
      </w:pPr>
      <w:r w:rsidRPr="00440995">
        <w:rPr>
          <w:sz w:val="24"/>
          <w:szCs w:val="24"/>
          <w:lang w:val="en-US"/>
        </w:rPr>
        <w:t xml:space="preserve">Step III: </w:t>
      </w:r>
      <w:r w:rsidR="00130A0A">
        <w:rPr>
          <w:sz w:val="24"/>
          <w:szCs w:val="24"/>
          <w:lang w:val="en-US"/>
        </w:rPr>
        <w:t xml:space="preserve">(April 2013- September 2013) </w:t>
      </w:r>
      <w:r w:rsidRPr="00440995">
        <w:rPr>
          <w:sz w:val="24"/>
          <w:szCs w:val="24"/>
          <w:lang w:val="en-US"/>
        </w:rPr>
        <w:t>A cost assessment is implemented</w:t>
      </w:r>
      <w:r w:rsidR="000F64FF">
        <w:rPr>
          <w:sz w:val="24"/>
          <w:szCs w:val="24"/>
          <w:lang w:val="en-US"/>
        </w:rPr>
        <w:t xml:space="preserve"> in which</w:t>
      </w:r>
      <w:r w:rsidR="000D0047">
        <w:rPr>
          <w:sz w:val="24"/>
          <w:szCs w:val="24"/>
          <w:lang w:val="en-US"/>
        </w:rPr>
        <w:t xml:space="preserve"> the NCBs</w:t>
      </w:r>
      <w:r w:rsidRPr="00440995">
        <w:rPr>
          <w:sz w:val="24"/>
          <w:szCs w:val="24"/>
          <w:lang w:val="en-US"/>
        </w:rPr>
        <w:t xml:space="preserve"> and reporting agents according to a grading scheme – for example, from 1 (limited change) to 5 (fundamental change) – for both imp</w:t>
      </w:r>
      <w:r w:rsidR="00E86C85">
        <w:rPr>
          <w:sz w:val="24"/>
          <w:szCs w:val="24"/>
          <w:lang w:val="en-US"/>
        </w:rPr>
        <w:t xml:space="preserve">lementation and recurrent costs </w:t>
      </w:r>
      <w:r w:rsidR="000F64FF">
        <w:rPr>
          <w:sz w:val="24"/>
          <w:szCs w:val="24"/>
          <w:lang w:val="en-US"/>
        </w:rPr>
        <w:t>give their evaluation of the global cost of the data required</w:t>
      </w:r>
      <w:r w:rsidR="00E86C85">
        <w:rPr>
          <w:sz w:val="24"/>
          <w:szCs w:val="24"/>
          <w:lang w:val="en-US"/>
        </w:rPr>
        <w:t xml:space="preserve">. </w:t>
      </w:r>
    </w:p>
    <w:p w:rsidR="0009581F" w:rsidRPr="00440995" w:rsidRDefault="0009581F" w:rsidP="00E056DD">
      <w:pPr>
        <w:spacing w:before="240" w:line="360" w:lineRule="auto"/>
        <w:rPr>
          <w:sz w:val="24"/>
          <w:szCs w:val="24"/>
          <w:lang w:val="en-US"/>
        </w:rPr>
      </w:pPr>
      <w:r w:rsidRPr="00440995">
        <w:rPr>
          <w:sz w:val="24"/>
          <w:szCs w:val="24"/>
          <w:lang w:val="en-US"/>
        </w:rPr>
        <w:t xml:space="preserve">Step IV: </w:t>
      </w:r>
      <w:r w:rsidR="00130A0A">
        <w:rPr>
          <w:sz w:val="24"/>
          <w:szCs w:val="24"/>
          <w:lang w:val="en-US"/>
        </w:rPr>
        <w:t>(December 2013-February 2014)</w:t>
      </w:r>
      <w:r w:rsidR="00130A0A" w:rsidRPr="00440995">
        <w:rPr>
          <w:sz w:val="24"/>
          <w:szCs w:val="24"/>
          <w:lang w:val="en-US"/>
        </w:rPr>
        <w:t xml:space="preserve"> </w:t>
      </w:r>
      <w:r w:rsidRPr="00440995">
        <w:rPr>
          <w:sz w:val="24"/>
          <w:szCs w:val="24"/>
          <w:lang w:val="en-US"/>
        </w:rPr>
        <w:t>A m</w:t>
      </w:r>
      <w:r w:rsidR="00643641">
        <w:rPr>
          <w:sz w:val="24"/>
          <w:szCs w:val="24"/>
          <w:lang w:val="en-US"/>
        </w:rPr>
        <w:t>erits assessment is carried out</w:t>
      </w:r>
      <w:r w:rsidRPr="00440995">
        <w:rPr>
          <w:sz w:val="24"/>
          <w:szCs w:val="24"/>
          <w:lang w:val="en-US"/>
        </w:rPr>
        <w:t xml:space="preserve"> </w:t>
      </w:r>
      <w:r w:rsidR="00F147E8">
        <w:rPr>
          <w:sz w:val="24"/>
          <w:szCs w:val="24"/>
          <w:lang w:val="en-US"/>
        </w:rPr>
        <w:t xml:space="preserve">where </w:t>
      </w:r>
      <w:r w:rsidRPr="00440995">
        <w:rPr>
          <w:sz w:val="24"/>
          <w:szCs w:val="24"/>
          <w:lang w:val="en-US"/>
        </w:rPr>
        <w:t xml:space="preserve">the main users of the statistics under development are asked for both a qualitative and a quantitative assessment. The quantitative assessment is based on a set of scores according to certain criteria, such as policy relevance </w:t>
      </w:r>
      <w:r w:rsidR="00F52549">
        <w:rPr>
          <w:sz w:val="24"/>
          <w:szCs w:val="24"/>
          <w:lang w:val="en-US"/>
        </w:rPr>
        <w:t xml:space="preserve">or </w:t>
      </w:r>
      <w:r w:rsidRPr="00440995">
        <w:rPr>
          <w:sz w:val="24"/>
          <w:szCs w:val="24"/>
          <w:lang w:val="en-US"/>
        </w:rPr>
        <w:t>operational usefulness, interna</w:t>
      </w:r>
      <w:r w:rsidR="00171CF2">
        <w:rPr>
          <w:sz w:val="24"/>
          <w:szCs w:val="24"/>
          <w:lang w:val="en-US"/>
        </w:rPr>
        <w:t>tional availability and harmoniz</w:t>
      </w:r>
      <w:r w:rsidRPr="00440995">
        <w:rPr>
          <w:sz w:val="24"/>
          <w:szCs w:val="24"/>
          <w:lang w:val="en-US"/>
        </w:rPr>
        <w:t>ation, and data quality enhancement</w:t>
      </w:r>
      <w:r w:rsidR="00130A0A">
        <w:rPr>
          <w:sz w:val="24"/>
          <w:szCs w:val="24"/>
          <w:lang w:val="en-US"/>
        </w:rPr>
        <w:t>.</w:t>
      </w:r>
      <w:r w:rsidR="004A5B89">
        <w:rPr>
          <w:sz w:val="24"/>
          <w:szCs w:val="24"/>
          <w:lang w:val="en-US"/>
        </w:rPr>
        <w:t xml:space="preserve"> </w:t>
      </w:r>
    </w:p>
    <w:p w:rsidR="00846FD2" w:rsidRPr="00B171A7" w:rsidRDefault="0009581F" w:rsidP="00E056DD">
      <w:pPr>
        <w:spacing w:before="240" w:line="360" w:lineRule="auto"/>
        <w:rPr>
          <w:sz w:val="24"/>
          <w:szCs w:val="24"/>
          <w:lang w:val="en-US"/>
        </w:rPr>
      </w:pPr>
      <w:r w:rsidRPr="00440995">
        <w:rPr>
          <w:sz w:val="24"/>
          <w:szCs w:val="24"/>
          <w:lang w:val="en-US"/>
        </w:rPr>
        <w:t xml:space="preserve">Step V: </w:t>
      </w:r>
      <w:r w:rsidR="00130A0A">
        <w:rPr>
          <w:sz w:val="24"/>
          <w:szCs w:val="24"/>
          <w:lang w:val="en-US"/>
        </w:rPr>
        <w:t xml:space="preserve">(March 2014-October 2014) </w:t>
      </w:r>
      <w:r w:rsidRPr="00440995">
        <w:rPr>
          <w:sz w:val="24"/>
          <w:szCs w:val="24"/>
          <w:lang w:val="en-US"/>
        </w:rPr>
        <w:t>Merits and costs are matched in preparation for the final decision by th</w:t>
      </w:r>
      <w:r w:rsidR="00AE4CA3">
        <w:rPr>
          <w:sz w:val="24"/>
          <w:szCs w:val="24"/>
          <w:lang w:val="en-US"/>
        </w:rPr>
        <w:t>e Governing Council of the ECB</w:t>
      </w:r>
      <w:r w:rsidR="00543EAB">
        <w:rPr>
          <w:sz w:val="24"/>
          <w:szCs w:val="24"/>
          <w:lang w:val="en-US"/>
        </w:rPr>
        <w:t>.</w:t>
      </w:r>
    </w:p>
    <w:p w:rsidR="005F3CF8" w:rsidRPr="00E40A93" w:rsidRDefault="006F50FA" w:rsidP="005F3CF8">
      <w:pPr>
        <w:spacing w:before="240" w:line="360" w:lineRule="auto"/>
        <w:rPr>
          <w:b/>
          <w:i/>
          <w:sz w:val="24"/>
          <w:szCs w:val="24"/>
          <w:lang w:val="en-US"/>
        </w:rPr>
      </w:pPr>
      <w:r w:rsidRPr="00440995">
        <w:rPr>
          <w:b/>
          <w:i/>
          <w:sz w:val="24"/>
          <w:szCs w:val="24"/>
          <w:lang w:val="en-US"/>
        </w:rPr>
        <w:t xml:space="preserve">2.2 </w:t>
      </w:r>
      <w:r w:rsidR="00AD4CFA" w:rsidRPr="00440995">
        <w:rPr>
          <w:b/>
          <w:i/>
          <w:sz w:val="24"/>
          <w:szCs w:val="24"/>
          <w:lang w:val="en-US"/>
        </w:rPr>
        <w:t xml:space="preserve">Results of </w:t>
      </w:r>
      <w:r w:rsidR="007155BE" w:rsidRPr="00440995">
        <w:rPr>
          <w:b/>
          <w:i/>
          <w:sz w:val="24"/>
          <w:szCs w:val="24"/>
          <w:lang w:val="en-US"/>
        </w:rPr>
        <w:t xml:space="preserve">the </w:t>
      </w:r>
      <w:r w:rsidR="00AD4CFA" w:rsidRPr="00440995">
        <w:rPr>
          <w:b/>
          <w:i/>
          <w:sz w:val="24"/>
          <w:szCs w:val="24"/>
          <w:lang w:val="en-US"/>
        </w:rPr>
        <w:t xml:space="preserve">merits &amp; costs procedure </w:t>
      </w:r>
      <w:r w:rsidR="00B50727">
        <w:rPr>
          <w:b/>
          <w:i/>
          <w:sz w:val="24"/>
          <w:szCs w:val="24"/>
          <w:lang w:val="en-US"/>
        </w:rPr>
        <w:t>for ICPF</w:t>
      </w:r>
      <w:r w:rsidR="000B78D9" w:rsidRPr="00440995">
        <w:rPr>
          <w:b/>
          <w:i/>
          <w:sz w:val="24"/>
          <w:szCs w:val="24"/>
          <w:lang w:val="en-US"/>
        </w:rPr>
        <w:t xml:space="preserve"> statistics</w:t>
      </w:r>
    </w:p>
    <w:p w:rsidR="00D7379E" w:rsidRDefault="000D0047" w:rsidP="00BE7AA0">
      <w:pPr>
        <w:pStyle w:val="Paragraphedeliste"/>
        <w:numPr>
          <w:ilvl w:val="0"/>
          <w:numId w:val="11"/>
        </w:numPr>
        <w:spacing w:before="240" w:line="360" w:lineRule="auto"/>
        <w:ind w:left="567" w:hanging="283"/>
        <w:rPr>
          <w:sz w:val="24"/>
          <w:szCs w:val="24"/>
          <w:lang w:val="en-US"/>
        </w:rPr>
      </w:pPr>
      <w:r>
        <w:rPr>
          <w:sz w:val="24"/>
          <w:szCs w:val="24"/>
          <w:lang w:val="en-US"/>
        </w:rPr>
        <w:t xml:space="preserve">Matching </w:t>
      </w:r>
      <w:r w:rsidR="00D7379E" w:rsidRPr="00440995">
        <w:rPr>
          <w:sz w:val="24"/>
          <w:szCs w:val="24"/>
          <w:lang w:val="en-US"/>
        </w:rPr>
        <w:t xml:space="preserve">of merits and costs exercise </w:t>
      </w:r>
    </w:p>
    <w:p w:rsidR="00E40A93" w:rsidRPr="00770939" w:rsidRDefault="00A5595C" w:rsidP="00A5595C">
      <w:pPr>
        <w:spacing w:before="240" w:line="360" w:lineRule="auto"/>
        <w:rPr>
          <w:sz w:val="24"/>
          <w:szCs w:val="24"/>
          <w:lang w:val="en-GB"/>
        </w:rPr>
      </w:pPr>
      <w:r>
        <w:rPr>
          <w:sz w:val="24"/>
          <w:szCs w:val="24"/>
          <w:lang w:val="en-US"/>
        </w:rPr>
        <w:t xml:space="preserve">The cost assessment exercise covered the </w:t>
      </w:r>
      <w:r w:rsidR="008301F0">
        <w:rPr>
          <w:sz w:val="24"/>
          <w:szCs w:val="24"/>
          <w:lang w:val="en-US"/>
        </w:rPr>
        <w:t xml:space="preserve">estimated </w:t>
      </w:r>
      <w:r>
        <w:rPr>
          <w:sz w:val="24"/>
          <w:szCs w:val="24"/>
          <w:lang w:val="en-US"/>
        </w:rPr>
        <w:t xml:space="preserve">costs by NCBs and reporting agents (RA) for the new statistical requirements on balance sheet of insurance corporations. </w:t>
      </w:r>
      <w:r w:rsidRPr="00A5595C">
        <w:rPr>
          <w:sz w:val="24"/>
          <w:szCs w:val="24"/>
          <w:lang w:val="en-US"/>
        </w:rPr>
        <w:t xml:space="preserve">For the merits exercise, </w:t>
      </w:r>
      <w:r>
        <w:rPr>
          <w:sz w:val="24"/>
          <w:szCs w:val="24"/>
          <w:lang w:val="en-US"/>
        </w:rPr>
        <w:t>q</w:t>
      </w:r>
      <w:r w:rsidRPr="00A5595C">
        <w:rPr>
          <w:sz w:val="24"/>
          <w:szCs w:val="24"/>
          <w:lang w:val="en-US"/>
        </w:rPr>
        <w:t>uantitative and qualitative answers were received from the Financial Stability Committee</w:t>
      </w:r>
      <w:r w:rsidR="007D4B68">
        <w:rPr>
          <w:rStyle w:val="Appelnotedebasdep"/>
          <w:szCs w:val="24"/>
          <w:lang w:val="en-US"/>
        </w:rPr>
        <w:footnoteReference w:id="8"/>
      </w:r>
      <w:r w:rsidRPr="00A5595C">
        <w:rPr>
          <w:sz w:val="24"/>
          <w:szCs w:val="24"/>
          <w:lang w:val="en-US"/>
        </w:rPr>
        <w:t>, Monetary Policy Committee</w:t>
      </w:r>
      <w:r w:rsidR="002946F7">
        <w:rPr>
          <w:sz w:val="24"/>
          <w:szCs w:val="24"/>
          <w:lang w:val="en-US"/>
        </w:rPr>
        <w:t xml:space="preserve">, </w:t>
      </w:r>
      <w:r w:rsidRPr="00A5595C">
        <w:rPr>
          <w:sz w:val="24"/>
          <w:szCs w:val="24"/>
          <w:lang w:val="en-US"/>
        </w:rPr>
        <w:t xml:space="preserve">and the </w:t>
      </w:r>
      <w:r w:rsidR="008301F0">
        <w:rPr>
          <w:sz w:val="24"/>
          <w:szCs w:val="24"/>
          <w:lang w:val="en-US"/>
        </w:rPr>
        <w:t>S</w:t>
      </w:r>
      <w:r w:rsidR="008301F0" w:rsidRPr="00A5595C">
        <w:rPr>
          <w:sz w:val="24"/>
          <w:szCs w:val="24"/>
          <w:lang w:val="en-US"/>
        </w:rPr>
        <w:t xml:space="preserve">tatistical </w:t>
      </w:r>
      <w:r w:rsidRPr="00A5595C">
        <w:rPr>
          <w:sz w:val="24"/>
          <w:szCs w:val="24"/>
          <w:lang w:val="en-US"/>
        </w:rPr>
        <w:t>Committee</w:t>
      </w:r>
      <w:r w:rsidR="005D36F1" w:rsidRPr="005D36F1">
        <w:rPr>
          <w:sz w:val="24"/>
          <w:szCs w:val="24"/>
          <w:lang w:val="en-US"/>
        </w:rPr>
        <w:t xml:space="preserve"> </w:t>
      </w:r>
      <w:r w:rsidR="005D36F1">
        <w:rPr>
          <w:sz w:val="24"/>
          <w:szCs w:val="24"/>
          <w:lang w:val="en-US"/>
        </w:rPr>
        <w:t>(Balance of Payments, Euro Area accounts)</w:t>
      </w:r>
      <w:r w:rsidRPr="00A5595C">
        <w:rPr>
          <w:sz w:val="24"/>
          <w:szCs w:val="24"/>
          <w:lang w:val="en-US"/>
        </w:rPr>
        <w:t xml:space="preserve">. </w:t>
      </w:r>
      <w:r w:rsidRPr="00770939">
        <w:rPr>
          <w:sz w:val="24"/>
          <w:szCs w:val="24"/>
          <w:lang w:val="en-GB"/>
        </w:rPr>
        <w:t>F</w:t>
      </w:r>
      <w:r w:rsidRPr="00A5595C">
        <w:rPr>
          <w:sz w:val="24"/>
          <w:szCs w:val="24"/>
          <w:lang w:val="en-GB"/>
        </w:rPr>
        <w:t>or each requirement</w:t>
      </w:r>
      <w:r w:rsidR="00400F1A">
        <w:rPr>
          <w:sz w:val="24"/>
          <w:szCs w:val="24"/>
          <w:lang w:val="en-GB"/>
        </w:rPr>
        <w:t xml:space="preserve"> (</w:t>
      </w:r>
      <w:r w:rsidR="008301F0">
        <w:rPr>
          <w:sz w:val="24"/>
          <w:szCs w:val="24"/>
          <w:lang w:val="en-GB"/>
        </w:rPr>
        <w:t xml:space="preserve">see </w:t>
      </w:r>
      <w:r w:rsidR="00400F1A">
        <w:rPr>
          <w:sz w:val="24"/>
          <w:szCs w:val="24"/>
          <w:lang w:val="en-GB"/>
        </w:rPr>
        <w:t xml:space="preserve">annex for </w:t>
      </w:r>
      <w:r w:rsidR="00C439C8">
        <w:rPr>
          <w:sz w:val="24"/>
          <w:szCs w:val="24"/>
          <w:lang w:val="en-GB"/>
        </w:rPr>
        <w:t>the complete table</w:t>
      </w:r>
      <w:r w:rsidR="00400F1A">
        <w:rPr>
          <w:sz w:val="24"/>
          <w:szCs w:val="24"/>
          <w:lang w:val="en-GB"/>
        </w:rPr>
        <w:t>)</w:t>
      </w:r>
      <w:r w:rsidRPr="00A5595C">
        <w:rPr>
          <w:sz w:val="24"/>
          <w:szCs w:val="24"/>
          <w:lang w:val="en-GB"/>
        </w:rPr>
        <w:t xml:space="preserve">, the ECB put an overall assessment of merits and costs.  </w:t>
      </w:r>
    </w:p>
    <w:p w:rsidR="00E40A93" w:rsidRPr="00CE1282" w:rsidRDefault="00E40A93" w:rsidP="00947922">
      <w:pPr>
        <w:rPr>
          <w:b/>
          <w:sz w:val="24"/>
          <w:szCs w:val="24"/>
          <w:lang w:val="en-US"/>
        </w:rPr>
      </w:pPr>
      <w:r w:rsidRPr="00CE1282">
        <w:rPr>
          <w:b/>
          <w:sz w:val="24"/>
          <w:szCs w:val="24"/>
          <w:lang w:val="en-US"/>
        </w:rPr>
        <w:t xml:space="preserve">Assets: </w:t>
      </w:r>
    </w:p>
    <w:p w:rsidR="00E40A93" w:rsidRDefault="00E40A93" w:rsidP="00947922">
      <w:pPr>
        <w:rPr>
          <w:sz w:val="24"/>
          <w:szCs w:val="24"/>
          <w:lang w:val="en-US"/>
        </w:rPr>
      </w:pPr>
    </w:p>
    <w:p w:rsidR="006B6D8C" w:rsidRDefault="00E40A93" w:rsidP="00947922">
      <w:pPr>
        <w:rPr>
          <w:sz w:val="24"/>
          <w:szCs w:val="24"/>
          <w:lang w:val="en-GB"/>
        </w:rPr>
      </w:pPr>
      <w:r>
        <w:rPr>
          <w:sz w:val="24"/>
          <w:szCs w:val="24"/>
          <w:lang w:val="en-GB"/>
        </w:rPr>
        <w:t xml:space="preserve">The </w:t>
      </w:r>
      <w:r w:rsidRPr="00E40A93">
        <w:rPr>
          <w:sz w:val="24"/>
          <w:szCs w:val="24"/>
          <w:lang w:val="en-GB"/>
        </w:rPr>
        <w:t>highest merits</w:t>
      </w:r>
      <w:r>
        <w:rPr>
          <w:sz w:val="24"/>
          <w:szCs w:val="24"/>
          <w:lang w:val="en-GB"/>
        </w:rPr>
        <w:t xml:space="preserve"> were obtained on </w:t>
      </w:r>
      <w:r w:rsidRPr="00E40A93">
        <w:rPr>
          <w:sz w:val="24"/>
          <w:szCs w:val="24"/>
          <w:lang w:val="en-GB"/>
        </w:rPr>
        <w:t xml:space="preserve">detailed information on </w:t>
      </w:r>
      <w:r w:rsidR="006B6D8C">
        <w:rPr>
          <w:sz w:val="24"/>
          <w:szCs w:val="24"/>
          <w:lang w:val="en-GB"/>
        </w:rPr>
        <w:t xml:space="preserve">: </w:t>
      </w:r>
    </w:p>
    <w:p w:rsidR="006B6D8C" w:rsidRDefault="006B6D8C" w:rsidP="00947922">
      <w:pPr>
        <w:rPr>
          <w:sz w:val="24"/>
          <w:szCs w:val="24"/>
          <w:lang w:val="en-GB"/>
        </w:rPr>
      </w:pPr>
    </w:p>
    <w:p w:rsidR="006B6D8C" w:rsidRDefault="00C439C8" w:rsidP="006B6D8C">
      <w:pPr>
        <w:pStyle w:val="Paragraphedeliste"/>
        <w:numPr>
          <w:ilvl w:val="0"/>
          <w:numId w:val="35"/>
        </w:numPr>
        <w:rPr>
          <w:sz w:val="24"/>
          <w:szCs w:val="24"/>
          <w:lang w:val="en-GB"/>
        </w:rPr>
      </w:pPr>
      <w:r>
        <w:rPr>
          <w:i/>
          <w:sz w:val="24"/>
          <w:szCs w:val="24"/>
          <w:lang w:val="en-GB"/>
        </w:rPr>
        <w:t>H</w:t>
      </w:r>
      <w:r w:rsidR="006B6D8C" w:rsidRPr="006B6D8C">
        <w:rPr>
          <w:i/>
          <w:sz w:val="24"/>
          <w:szCs w:val="24"/>
          <w:lang w:val="en-GB"/>
        </w:rPr>
        <w:t>oldings of debt securities</w:t>
      </w:r>
      <w:r w:rsidR="006B6D8C" w:rsidRPr="006B6D8C">
        <w:rPr>
          <w:lang w:val="en-GB"/>
        </w:rPr>
        <w:t xml:space="preserve"> </w:t>
      </w:r>
      <w:r w:rsidR="006B6D8C" w:rsidRPr="006B6D8C">
        <w:rPr>
          <w:sz w:val="24"/>
          <w:szCs w:val="24"/>
          <w:u w:val="single"/>
          <w:lang w:val="en-GB"/>
        </w:rPr>
        <w:t xml:space="preserve">by original maturity, counterpart area, sectors for euro area counterparts </w:t>
      </w:r>
      <w:r w:rsidR="006B6D8C" w:rsidRPr="006B6D8C">
        <w:rPr>
          <w:sz w:val="24"/>
          <w:szCs w:val="24"/>
          <w:lang w:val="en-GB"/>
        </w:rPr>
        <w:t>(2b)</w:t>
      </w:r>
    </w:p>
    <w:p w:rsidR="006B6D8C" w:rsidRDefault="00C439C8" w:rsidP="006B6D8C">
      <w:pPr>
        <w:pStyle w:val="Paragraphedeliste"/>
        <w:numPr>
          <w:ilvl w:val="0"/>
          <w:numId w:val="35"/>
        </w:numPr>
        <w:rPr>
          <w:sz w:val="24"/>
          <w:szCs w:val="24"/>
          <w:lang w:val="en-GB"/>
        </w:rPr>
      </w:pPr>
      <w:r>
        <w:rPr>
          <w:i/>
          <w:sz w:val="24"/>
          <w:szCs w:val="24"/>
          <w:lang w:val="en-GB"/>
        </w:rPr>
        <w:t>H</w:t>
      </w:r>
      <w:r w:rsidR="006B6D8C" w:rsidRPr="006B6D8C">
        <w:rPr>
          <w:i/>
          <w:sz w:val="24"/>
          <w:szCs w:val="24"/>
          <w:lang w:val="en-GB"/>
        </w:rPr>
        <w:t>oldings of debt securities</w:t>
      </w:r>
      <w:r w:rsidR="006B6D8C" w:rsidRPr="006B6D8C">
        <w:rPr>
          <w:lang w:val="en-US"/>
        </w:rPr>
        <w:t xml:space="preserve"> </w:t>
      </w:r>
      <w:r w:rsidR="006B6D8C" w:rsidRPr="006B6D8C">
        <w:rPr>
          <w:sz w:val="24"/>
          <w:szCs w:val="24"/>
          <w:u w:val="single"/>
          <w:lang w:val="en-GB"/>
        </w:rPr>
        <w:t xml:space="preserve">by individual EU countries and sectors </w:t>
      </w:r>
      <w:r w:rsidR="006B6D8C" w:rsidRPr="006B6D8C">
        <w:rPr>
          <w:sz w:val="24"/>
          <w:szCs w:val="24"/>
          <w:lang w:val="en-GB"/>
        </w:rPr>
        <w:t>(2c)</w:t>
      </w:r>
    </w:p>
    <w:p w:rsidR="00C439C8" w:rsidRDefault="00C439C8" w:rsidP="006B6D8C">
      <w:pPr>
        <w:pStyle w:val="Paragraphedeliste"/>
        <w:numPr>
          <w:ilvl w:val="0"/>
          <w:numId w:val="35"/>
        </w:numPr>
        <w:rPr>
          <w:sz w:val="24"/>
          <w:szCs w:val="24"/>
          <w:lang w:val="en-GB"/>
        </w:rPr>
      </w:pPr>
      <w:r>
        <w:rPr>
          <w:i/>
          <w:sz w:val="24"/>
          <w:szCs w:val="24"/>
          <w:lang w:val="en-GB"/>
        </w:rPr>
        <w:t>L</w:t>
      </w:r>
      <w:r w:rsidR="00E40A93" w:rsidRPr="006B6D8C">
        <w:rPr>
          <w:i/>
          <w:sz w:val="24"/>
          <w:szCs w:val="24"/>
          <w:lang w:val="en-GB"/>
        </w:rPr>
        <w:t>oans</w:t>
      </w:r>
      <w:r w:rsidR="00E40A93" w:rsidRPr="006B6D8C">
        <w:rPr>
          <w:sz w:val="24"/>
          <w:szCs w:val="24"/>
          <w:lang w:val="en-GB"/>
        </w:rPr>
        <w:t xml:space="preserve"> </w:t>
      </w:r>
      <w:r w:rsidR="006B6D8C" w:rsidRPr="006B6D8C">
        <w:rPr>
          <w:sz w:val="24"/>
          <w:szCs w:val="24"/>
          <w:u w:val="single"/>
          <w:lang w:val="en-GB"/>
        </w:rPr>
        <w:t>by original maturity, counterpart area, sectors for euro area counterparts</w:t>
      </w:r>
      <w:r w:rsidR="006B6D8C" w:rsidRPr="006B6D8C">
        <w:rPr>
          <w:sz w:val="24"/>
          <w:szCs w:val="24"/>
          <w:lang w:val="en-GB"/>
        </w:rPr>
        <w:t xml:space="preserve"> </w:t>
      </w:r>
      <w:r w:rsidR="006B6D8C">
        <w:rPr>
          <w:sz w:val="24"/>
          <w:szCs w:val="24"/>
          <w:lang w:val="en-GB"/>
        </w:rPr>
        <w:t>(3d)</w:t>
      </w:r>
      <w:r w:rsidR="00E40A93" w:rsidRPr="006B6D8C">
        <w:rPr>
          <w:sz w:val="24"/>
          <w:szCs w:val="24"/>
          <w:lang w:val="en-GB"/>
        </w:rPr>
        <w:t xml:space="preserve"> </w:t>
      </w:r>
    </w:p>
    <w:p w:rsidR="006B6D8C" w:rsidRDefault="00C439C8" w:rsidP="006B6D8C">
      <w:pPr>
        <w:pStyle w:val="Paragraphedeliste"/>
        <w:numPr>
          <w:ilvl w:val="0"/>
          <w:numId w:val="35"/>
        </w:numPr>
        <w:rPr>
          <w:sz w:val="24"/>
          <w:szCs w:val="24"/>
          <w:lang w:val="en-GB"/>
        </w:rPr>
      </w:pPr>
      <w:r>
        <w:rPr>
          <w:i/>
          <w:sz w:val="24"/>
          <w:szCs w:val="24"/>
          <w:lang w:val="en-GB"/>
        </w:rPr>
        <w:t>H</w:t>
      </w:r>
      <w:r w:rsidR="00E40A93" w:rsidRPr="006B6D8C">
        <w:rPr>
          <w:i/>
          <w:sz w:val="24"/>
          <w:szCs w:val="24"/>
          <w:lang w:val="en-GB"/>
        </w:rPr>
        <w:t>oldings of equity</w:t>
      </w:r>
      <w:r w:rsidR="00E40A93" w:rsidRPr="006B6D8C">
        <w:rPr>
          <w:sz w:val="24"/>
          <w:szCs w:val="24"/>
          <w:lang w:val="en-GB"/>
        </w:rPr>
        <w:t xml:space="preserve"> </w:t>
      </w:r>
      <w:r w:rsidR="006B6D8C" w:rsidRPr="006B6D8C">
        <w:rPr>
          <w:sz w:val="24"/>
          <w:szCs w:val="24"/>
          <w:u w:val="single"/>
          <w:lang w:val="en-GB"/>
        </w:rPr>
        <w:t>by counterpart area and sectors for euro area counterparts</w:t>
      </w:r>
      <w:r w:rsidR="006B6D8C" w:rsidRPr="006B6D8C">
        <w:rPr>
          <w:sz w:val="24"/>
          <w:szCs w:val="24"/>
          <w:lang w:val="en-GB"/>
        </w:rPr>
        <w:t xml:space="preserve"> </w:t>
      </w:r>
      <w:r w:rsidR="00E40A93" w:rsidRPr="006B6D8C">
        <w:rPr>
          <w:sz w:val="24"/>
          <w:szCs w:val="24"/>
          <w:lang w:val="en-GB"/>
        </w:rPr>
        <w:t>(4c</w:t>
      </w:r>
      <w:r w:rsidR="006B6D8C">
        <w:rPr>
          <w:sz w:val="24"/>
          <w:szCs w:val="24"/>
          <w:lang w:val="en-GB"/>
        </w:rPr>
        <w:t>)</w:t>
      </w:r>
    </w:p>
    <w:p w:rsidR="006B6D8C" w:rsidRDefault="00C439C8" w:rsidP="006B6D8C">
      <w:pPr>
        <w:pStyle w:val="Paragraphedeliste"/>
        <w:numPr>
          <w:ilvl w:val="0"/>
          <w:numId w:val="35"/>
        </w:numPr>
        <w:rPr>
          <w:sz w:val="24"/>
          <w:szCs w:val="24"/>
          <w:lang w:val="en-GB"/>
        </w:rPr>
      </w:pPr>
      <w:r>
        <w:rPr>
          <w:i/>
          <w:sz w:val="24"/>
          <w:szCs w:val="24"/>
          <w:lang w:val="en-GB"/>
        </w:rPr>
        <w:t>H</w:t>
      </w:r>
      <w:r w:rsidR="006B6D8C" w:rsidRPr="006B6D8C">
        <w:rPr>
          <w:i/>
          <w:sz w:val="24"/>
          <w:szCs w:val="24"/>
          <w:lang w:val="en-GB"/>
        </w:rPr>
        <w:t>oldings of equity</w:t>
      </w:r>
      <w:r w:rsidR="00E40A93" w:rsidRPr="006B6D8C">
        <w:rPr>
          <w:sz w:val="24"/>
          <w:szCs w:val="24"/>
          <w:lang w:val="en-GB"/>
        </w:rPr>
        <w:t>,</w:t>
      </w:r>
      <w:r w:rsidR="006B6D8C" w:rsidRPr="006B6D8C">
        <w:rPr>
          <w:lang w:val="en-US"/>
        </w:rPr>
        <w:t xml:space="preserve"> </w:t>
      </w:r>
      <w:r w:rsidR="006B6D8C" w:rsidRPr="006B6D8C">
        <w:rPr>
          <w:i/>
          <w:sz w:val="24"/>
          <w:szCs w:val="24"/>
          <w:lang w:val="en-GB"/>
        </w:rPr>
        <w:t>o/w listed shares</w:t>
      </w:r>
      <w:r w:rsidR="00E40A93" w:rsidRPr="006B6D8C">
        <w:rPr>
          <w:sz w:val="24"/>
          <w:szCs w:val="24"/>
          <w:lang w:val="en-GB"/>
        </w:rPr>
        <w:t xml:space="preserve"> </w:t>
      </w:r>
      <w:r w:rsidR="006B6D8C" w:rsidRPr="006B6D8C">
        <w:rPr>
          <w:sz w:val="24"/>
          <w:szCs w:val="24"/>
          <w:u w:val="single"/>
          <w:lang w:val="en-GB"/>
        </w:rPr>
        <w:t xml:space="preserve">by counterpart area and sectors for euro area counterparts </w:t>
      </w:r>
      <w:r w:rsidR="006B6D8C">
        <w:rPr>
          <w:sz w:val="24"/>
          <w:szCs w:val="24"/>
          <w:u w:val="single"/>
          <w:lang w:val="en-GB"/>
        </w:rPr>
        <w:t>(</w:t>
      </w:r>
      <w:r w:rsidR="00E40A93" w:rsidRPr="006B6D8C">
        <w:rPr>
          <w:sz w:val="24"/>
          <w:szCs w:val="24"/>
          <w:lang w:val="en-GB"/>
        </w:rPr>
        <w:t>4.1c</w:t>
      </w:r>
      <w:r w:rsidR="006B6D8C">
        <w:rPr>
          <w:sz w:val="24"/>
          <w:szCs w:val="24"/>
          <w:lang w:val="en-GB"/>
        </w:rPr>
        <w:t>)</w:t>
      </w:r>
    </w:p>
    <w:p w:rsidR="006B6D8C" w:rsidRDefault="00C439C8" w:rsidP="006B6D8C">
      <w:pPr>
        <w:pStyle w:val="Paragraphedeliste"/>
        <w:numPr>
          <w:ilvl w:val="0"/>
          <w:numId w:val="35"/>
        </w:numPr>
        <w:rPr>
          <w:sz w:val="24"/>
          <w:szCs w:val="24"/>
          <w:lang w:val="en-GB"/>
        </w:rPr>
      </w:pPr>
      <w:r>
        <w:rPr>
          <w:i/>
          <w:sz w:val="24"/>
          <w:szCs w:val="24"/>
          <w:lang w:val="en-GB"/>
        </w:rPr>
        <w:t>H</w:t>
      </w:r>
      <w:r w:rsidR="006B6D8C" w:rsidRPr="006B6D8C">
        <w:rPr>
          <w:i/>
          <w:sz w:val="24"/>
          <w:szCs w:val="24"/>
          <w:lang w:val="en-GB"/>
        </w:rPr>
        <w:t>oldings of equity, o/w unlisted shares and o/w other equity</w:t>
      </w:r>
      <w:r w:rsidR="00E40A93" w:rsidRPr="006B6D8C">
        <w:rPr>
          <w:sz w:val="24"/>
          <w:szCs w:val="24"/>
          <w:lang w:val="en-GB"/>
        </w:rPr>
        <w:t xml:space="preserve"> </w:t>
      </w:r>
      <w:r w:rsidR="006B6D8C">
        <w:rPr>
          <w:sz w:val="24"/>
          <w:szCs w:val="24"/>
          <w:lang w:val="en-GB"/>
        </w:rPr>
        <w:t>(</w:t>
      </w:r>
      <w:r w:rsidR="00E40A93" w:rsidRPr="006B6D8C">
        <w:rPr>
          <w:sz w:val="24"/>
          <w:szCs w:val="24"/>
          <w:lang w:val="en-GB"/>
        </w:rPr>
        <w:t xml:space="preserve">4.2c) </w:t>
      </w:r>
    </w:p>
    <w:p w:rsidR="00E40A93" w:rsidRPr="006B6D8C" w:rsidRDefault="00C439C8" w:rsidP="006B6D8C">
      <w:pPr>
        <w:pStyle w:val="Paragraphedeliste"/>
        <w:numPr>
          <w:ilvl w:val="0"/>
          <w:numId w:val="35"/>
        </w:numPr>
        <w:rPr>
          <w:sz w:val="24"/>
          <w:szCs w:val="24"/>
          <w:lang w:val="en-GB"/>
        </w:rPr>
      </w:pPr>
      <w:r>
        <w:rPr>
          <w:i/>
          <w:sz w:val="24"/>
          <w:szCs w:val="24"/>
          <w:lang w:val="en-GB"/>
        </w:rPr>
        <w:t>H</w:t>
      </w:r>
      <w:r w:rsidR="006B6D8C" w:rsidRPr="006B6D8C">
        <w:rPr>
          <w:i/>
          <w:sz w:val="24"/>
          <w:szCs w:val="24"/>
          <w:lang w:val="en-GB"/>
        </w:rPr>
        <w:t>oldings of investment fund shares/units</w:t>
      </w:r>
      <w:r w:rsidR="006B6D8C" w:rsidRPr="006B6D8C">
        <w:rPr>
          <w:lang w:val="en-US"/>
        </w:rPr>
        <w:t xml:space="preserve"> </w:t>
      </w:r>
      <w:r w:rsidR="006B6D8C" w:rsidRPr="006B6D8C">
        <w:rPr>
          <w:sz w:val="24"/>
          <w:szCs w:val="24"/>
          <w:u w:val="single"/>
          <w:lang w:val="en-GB"/>
        </w:rPr>
        <w:t>by counterpart area</w:t>
      </w:r>
      <w:r w:rsidR="006B6D8C" w:rsidRPr="006B6D8C">
        <w:rPr>
          <w:b/>
          <w:i/>
          <w:sz w:val="24"/>
          <w:szCs w:val="24"/>
          <w:lang w:val="en-GB"/>
        </w:rPr>
        <w:t xml:space="preserve"> </w:t>
      </w:r>
      <w:r w:rsidR="00E40A93" w:rsidRPr="006B6D8C">
        <w:rPr>
          <w:sz w:val="24"/>
          <w:szCs w:val="24"/>
          <w:lang w:val="en-GB"/>
        </w:rPr>
        <w:t>(5a)</w:t>
      </w:r>
    </w:p>
    <w:p w:rsidR="00E40A93" w:rsidRDefault="00E40A93" w:rsidP="00947922">
      <w:pPr>
        <w:rPr>
          <w:sz w:val="24"/>
          <w:szCs w:val="24"/>
          <w:lang w:val="en-GB"/>
        </w:rPr>
      </w:pPr>
    </w:p>
    <w:p w:rsidR="00E40A93" w:rsidRDefault="00E40A93" w:rsidP="00E40A93">
      <w:pPr>
        <w:jc w:val="center"/>
        <w:rPr>
          <w:sz w:val="24"/>
          <w:szCs w:val="24"/>
          <w:lang w:val="en-GB"/>
        </w:rPr>
      </w:pPr>
      <w:r w:rsidRPr="00E40A93">
        <w:rPr>
          <w:noProof/>
        </w:rPr>
        <w:drawing>
          <wp:inline distT="0" distB="0" distL="0" distR="0">
            <wp:extent cx="4284172" cy="2141915"/>
            <wp:effectExtent l="19050" t="0" r="2078"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88761" cy="2144209"/>
                    </a:xfrm>
                    <a:prstGeom prst="rect">
                      <a:avLst/>
                    </a:prstGeom>
                    <a:noFill/>
                    <a:ln w="9525">
                      <a:noFill/>
                      <a:miter lim="800000"/>
                      <a:headEnd/>
                      <a:tailEnd/>
                    </a:ln>
                  </pic:spPr>
                </pic:pic>
              </a:graphicData>
            </a:graphic>
          </wp:inline>
        </w:drawing>
      </w:r>
    </w:p>
    <w:p w:rsidR="00E40A93" w:rsidRDefault="000C2C92" w:rsidP="00947922">
      <w:pPr>
        <w:rPr>
          <w:sz w:val="24"/>
          <w:szCs w:val="24"/>
          <w:lang w:val="en-GB"/>
        </w:rPr>
      </w:pPr>
      <w:r>
        <w:rPr>
          <w:sz w:val="24"/>
          <w:szCs w:val="24"/>
          <w:lang w:val="en-GB"/>
        </w:rPr>
        <w:t xml:space="preserve">                    Source: ECB</w:t>
      </w:r>
      <w:r w:rsidR="00506733">
        <w:rPr>
          <w:sz w:val="24"/>
          <w:szCs w:val="24"/>
          <w:lang w:val="en-GB"/>
        </w:rPr>
        <w:t>, for more details see Annex.</w:t>
      </w:r>
    </w:p>
    <w:p w:rsidR="000C2C92" w:rsidRDefault="000C2C92" w:rsidP="00E40A93">
      <w:pPr>
        <w:rPr>
          <w:b/>
          <w:sz w:val="24"/>
          <w:szCs w:val="24"/>
          <w:lang w:val="en-US"/>
        </w:rPr>
      </w:pPr>
    </w:p>
    <w:p w:rsidR="00E40A93" w:rsidRPr="00CE1282" w:rsidRDefault="00E40A93" w:rsidP="00E40A93">
      <w:pPr>
        <w:rPr>
          <w:b/>
          <w:sz w:val="24"/>
          <w:szCs w:val="24"/>
          <w:lang w:val="en-US"/>
        </w:rPr>
      </w:pPr>
      <w:r w:rsidRPr="00CE1282">
        <w:rPr>
          <w:b/>
          <w:sz w:val="24"/>
          <w:szCs w:val="24"/>
          <w:lang w:val="en-US"/>
        </w:rPr>
        <w:t xml:space="preserve">Liabilities: </w:t>
      </w:r>
    </w:p>
    <w:p w:rsidR="00C439C8" w:rsidRDefault="00C439C8" w:rsidP="00C439C8">
      <w:pPr>
        <w:rPr>
          <w:sz w:val="24"/>
          <w:szCs w:val="24"/>
          <w:lang w:val="en-GB"/>
        </w:rPr>
      </w:pPr>
    </w:p>
    <w:p w:rsidR="00C439C8" w:rsidRDefault="00C439C8" w:rsidP="00C439C8">
      <w:pPr>
        <w:rPr>
          <w:sz w:val="24"/>
          <w:szCs w:val="24"/>
          <w:lang w:val="en-GB"/>
        </w:rPr>
      </w:pPr>
      <w:r w:rsidRPr="00E40A93">
        <w:rPr>
          <w:sz w:val="24"/>
          <w:szCs w:val="24"/>
          <w:lang w:val="en-GB"/>
        </w:rPr>
        <w:t xml:space="preserve">Overall highest merits </w:t>
      </w:r>
      <w:r>
        <w:rPr>
          <w:sz w:val="24"/>
          <w:szCs w:val="24"/>
          <w:lang w:val="en-GB"/>
        </w:rPr>
        <w:t xml:space="preserve">were obtained on detailed information on: </w:t>
      </w:r>
    </w:p>
    <w:p w:rsidR="006F5742" w:rsidRDefault="006F5742" w:rsidP="00C439C8">
      <w:pPr>
        <w:rPr>
          <w:sz w:val="24"/>
          <w:szCs w:val="24"/>
          <w:lang w:val="en-GB"/>
        </w:rPr>
      </w:pPr>
    </w:p>
    <w:p w:rsidR="00C439C8" w:rsidRPr="00C439C8" w:rsidRDefault="00C439C8" w:rsidP="00C439C8">
      <w:pPr>
        <w:pStyle w:val="Paragraphedeliste"/>
        <w:numPr>
          <w:ilvl w:val="0"/>
          <w:numId w:val="35"/>
        </w:numPr>
        <w:rPr>
          <w:sz w:val="24"/>
          <w:szCs w:val="24"/>
          <w:lang w:val="en-US"/>
        </w:rPr>
      </w:pPr>
      <w:r w:rsidRPr="00C439C8">
        <w:rPr>
          <w:i/>
          <w:sz w:val="24"/>
          <w:szCs w:val="24"/>
          <w:lang w:val="en-GB"/>
        </w:rPr>
        <w:t>Listed shares, unlisted shares and other equity issued</w:t>
      </w:r>
      <w:r w:rsidRPr="00C439C8">
        <w:rPr>
          <w:sz w:val="24"/>
          <w:szCs w:val="24"/>
          <w:lang w:val="en-GB"/>
        </w:rPr>
        <w:t xml:space="preserve"> (8</w:t>
      </w:r>
      <w:r w:rsidR="00130A0A">
        <w:rPr>
          <w:sz w:val="24"/>
          <w:szCs w:val="24"/>
          <w:lang w:val="en-GB"/>
        </w:rPr>
        <w:t>a</w:t>
      </w:r>
      <w:r w:rsidRPr="00C439C8">
        <w:rPr>
          <w:sz w:val="24"/>
          <w:szCs w:val="24"/>
          <w:lang w:val="en-GB"/>
        </w:rPr>
        <w:t>),</w:t>
      </w:r>
    </w:p>
    <w:p w:rsidR="00C439C8" w:rsidRPr="00C439C8" w:rsidRDefault="00C439C8" w:rsidP="00C439C8">
      <w:pPr>
        <w:pStyle w:val="Paragraphedeliste"/>
        <w:numPr>
          <w:ilvl w:val="0"/>
          <w:numId w:val="35"/>
        </w:numPr>
        <w:rPr>
          <w:sz w:val="24"/>
          <w:szCs w:val="24"/>
          <w:lang w:val="en-US"/>
        </w:rPr>
      </w:pPr>
      <w:r w:rsidRPr="00C439C8">
        <w:rPr>
          <w:i/>
          <w:sz w:val="24"/>
          <w:szCs w:val="24"/>
          <w:lang w:val="en-GB"/>
        </w:rPr>
        <w:t>Insurance technical reserves</w:t>
      </w:r>
      <w:r w:rsidRPr="00C439C8">
        <w:rPr>
          <w:sz w:val="24"/>
          <w:szCs w:val="24"/>
          <w:lang w:val="en-GB"/>
        </w:rPr>
        <w:t xml:space="preserve"> (9</w:t>
      </w:r>
      <w:r w:rsidR="00130A0A">
        <w:rPr>
          <w:sz w:val="24"/>
          <w:szCs w:val="24"/>
          <w:lang w:val="en-GB"/>
        </w:rPr>
        <w:t>b</w:t>
      </w:r>
      <w:r>
        <w:rPr>
          <w:sz w:val="24"/>
          <w:szCs w:val="24"/>
          <w:lang w:val="en-GB"/>
        </w:rPr>
        <w:t>)</w:t>
      </w:r>
    </w:p>
    <w:p w:rsidR="00C439C8" w:rsidRPr="00C439C8" w:rsidRDefault="00C439C8" w:rsidP="00C439C8">
      <w:pPr>
        <w:pStyle w:val="Paragraphedeliste"/>
        <w:numPr>
          <w:ilvl w:val="0"/>
          <w:numId w:val="35"/>
        </w:numPr>
        <w:rPr>
          <w:sz w:val="24"/>
          <w:szCs w:val="24"/>
          <w:lang w:val="en-US"/>
        </w:rPr>
      </w:pPr>
      <w:r w:rsidRPr="00C439C8">
        <w:rPr>
          <w:i/>
          <w:sz w:val="24"/>
          <w:szCs w:val="24"/>
          <w:lang w:val="en-GB"/>
        </w:rPr>
        <w:t>Insurance technical reserves</w:t>
      </w:r>
      <w:r w:rsidRPr="00C439C8">
        <w:rPr>
          <w:sz w:val="24"/>
          <w:szCs w:val="24"/>
          <w:lang w:val="en-GB"/>
        </w:rPr>
        <w:t xml:space="preserve">, </w:t>
      </w:r>
      <w:r w:rsidRPr="006B6D8C">
        <w:rPr>
          <w:i/>
          <w:sz w:val="24"/>
          <w:szCs w:val="24"/>
          <w:lang w:val="en-GB"/>
        </w:rPr>
        <w:t xml:space="preserve">o/w </w:t>
      </w:r>
      <w:r w:rsidRPr="00C439C8">
        <w:rPr>
          <w:i/>
          <w:sz w:val="24"/>
          <w:szCs w:val="24"/>
          <w:lang w:val="en-GB"/>
        </w:rPr>
        <w:t xml:space="preserve">pension fund reserves, separately defined contribution, defined benefit and hybrid schemes </w:t>
      </w:r>
      <w:r>
        <w:rPr>
          <w:sz w:val="24"/>
          <w:szCs w:val="24"/>
          <w:lang w:val="en-GB"/>
        </w:rPr>
        <w:t>(</w:t>
      </w:r>
      <w:r w:rsidRPr="00C439C8">
        <w:rPr>
          <w:sz w:val="24"/>
          <w:szCs w:val="24"/>
          <w:lang w:val="en-GB"/>
        </w:rPr>
        <w:t>10a</w:t>
      </w:r>
      <w:r>
        <w:rPr>
          <w:sz w:val="24"/>
          <w:szCs w:val="24"/>
          <w:lang w:val="en-GB"/>
        </w:rPr>
        <w:t>)</w:t>
      </w:r>
    </w:p>
    <w:p w:rsidR="00C439C8" w:rsidRPr="00C439C8" w:rsidRDefault="00C439C8" w:rsidP="00C439C8">
      <w:pPr>
        <w:pStyle w:val="Paragraphedeliste"/>
        <w:numPr>
          <w:ilvl w:val="0"/>
          <w:numId w:val="35"/>
        </w:numPr>
        <w:rPr>
          <w:sz w:val="24"/>
          <w:szCs w:val="24"/>
          <w:lang w:val="en-US"/>
        </w:rPr>
      </w:pPr>
      <w:r w:rsidRPr="00C439C8">
        <w:rPr>
          <w:i/>
          <w:sz w:val="24"/>
          <w:szCs w:val="24"/>
          <w:lang w:val="en-GB"/>
        </w:rPr>
        <w:t>Insurance technical reserves</w:t>
      </w:r>
      <w:r w:rsidRPr="00C439C8">
        <w:rPr>
          <w:sz w:val="24"/>
          <w:szCs w:val="24"/>
          <w:lang w:val="en-GB"/>
        </w:rPr>
        <w:t xml:space="preserve">, </w:t>
      </w:r>
      <w:r w:rsidRPr="006B6D8C">
        <w:rPr>
          <w:i/>
          <w:sz w:val="24"/>
          <w:szCs w:val="24"/>
          <w:lang w:val="en-GB"/>
        </w:rPr>
        <w:t>o/w</w:t>
      </w:r>
      <w:r w:rsidRPr="00C439C8">
        <w:rPr>
          <w:lang w:val="en-US"/>
        </w:rPr>
        <w:t xml:space="preserve"> </w:t>
      </w:r>
      <w:r w:rsidRPr="00C439C8">
        <w:rPr>
          <w:i/>
          <w:sz w:val="24"/>
          <w:szCs w:val="24"/>
          <w:lang w:val="en-GB"/>
        </w:rPr>
        <w:t>flow data, including revaluations of technical reserves</w:t>
      </w:r>
      <w:r>
        <w:rPr>
          <w:sz w:val="24"/>
          <w:szCs w:val="24"/>
          <w:lang w:val="en-GB"/>
        </w:rPr>
        <w:t xml:space="preserve"> (</w:t>
      </w:r>
      <w:r w:rsidRPr="00C439C8">
        <w:rPr>
          <w:sz w:val="24"/>
          <w:szCs w:val="24"/>
          <w:lang w:val="en-GB"/>
        </w:rPr>
        <w:t xml:space="preserve">11b) </w:t>
      </w:r>
    </w:p>
    <w:p w:rsidR="00C439C8" w:rsidRPr="00C439C8" w:rsidRDefault="00C439C8" w:rsidP="00C439C8">
      <w:pPr>
        <w:pStyle w:val="Paragraphedeliste"/>
        <w:numPr>
          <w:ilvl w:val="0"/>
          <w:numId w:val="35"/>
        </w:numPr>
        <w:rPr>
          <w:sz w:val="24"/>
          <w:szCs w:val="24"/>
          <w:lang w:val="en-US"/>
        </w:rPr>
      </w:pPr>
      <w:r w:rsidRPr="003A7C12">
        <w:rPr>
          <w:i/>
          <w:sz w:val="24"/>
          <w:szCs w:val="24"/>
          <w:lang w:val="en-GB"/>
        </w:rPr>
        <w:t>Improved timeliness</w:t>
      </w:r>
      <w:r w:rsidRPr="00C439C8">
        <w:rPr>
          <w:sz w:val="24"/>
          <w:szCs w:val="24"/>
          <w:lang w:val="en-GB"/>
        </w:rPr>
        <w:t xml:space="preserve"> </w:t>
      </w:r>
      <w:r w:rsidR="003A7C12" w:rsidRPr="003A7C12">
        <w:rPr>
          <w:sz w:val="24"/>
          <w:szCs w:val="24"/>
          <w:u w:val="single"/>
          <w:lang w:val="en-GB"/>
        </w:rPr>
        <w:t>t+4 weeks</w:t>
      </w:r>
      <w:r w:rsidR="003A7C12">
        <w:rPr>
          <w:sz w:val="24"/>
          <w:szCs w:val="24"/>
          <w:u w:val="single"/>
          <w:lang w:val="en-GB"/>
        </w:rPr>
        <w:t xml:space="preserve"> instead of t+5 weeks scheduled by EIOPA</w:t>
      </w:r>
      <w:r w:rsidR="003A7C12" w:rsidRPr="003A7C12">
        <w:rPr>
          <w:sz w:val="24"/>
          <w:szCs w:val="24"/>
          <w:lang w:val="en-GB"/>
        </w:rPr>
        <w:t xml:space="preserve"> </w:t>
      </w:r>
      <w:r w:rsidRPr="00C439C8">
        <w:rPr>
          <w:sz w:val="24"/>
          <w:szCs w:val="24"/>
          <w:lang w:val="en-GB"/>
        </w:rPr>
        <w:t>(12</w:t>
      </w:r>
      <w:r w:rsidR="00130A0A">
        <w:rPr>
          <w:sz w:val="24"/>
          <w:szCs w:val="24"/>
          <w:lang w:val="en-GB"/>
        </w:rPr>
        <w:t>a</w:t>
      </w:r>
      <w:r w:rsidRPr="00C439C8">
        <w:rPr>
          <w:sz w:val="24"/>
          <w:szCs w:val="24"/>
          <w:lang w:val="en-GB"/>
        </w:rPr>
        <w:t>)</w:t>
      </w:r>
    </w:p>
    <w:p w:rsidR="00C439C8" w:rsidRDefault="00C439C8" w:rsidP="00C439C8">
      <w:pPr>
        <w:rPr>
          <w:sz w:val="24"/>
          <w:szCs w:val="24"/>
          <w:lang w:val="en-US"/>
        </w:rPr>
      </w:pPr>
    </w:p>
    <w:p w:rsidR="00E40A93" w:rsidRDefault="00E40A93" w:rsidP="00947922">
      <w:pPr>
        <w:rPr>
          <w:sz w:val="24"/>
          <w:szCs w:val="24"/>
          <w:lang w:val="en-US"/>
        </w:rPr>
      </w:pPr>
    </w:p>
    <w:p w:rsidR="00E40A93" w:rsidRDefault="00E40A93" w:rsidP="00E40A93">
      <w:pPr>
        <w:jc w:val="center"/>
        <w:rPr>
          <w:sz w:val="24"/>
          <w:szCs w:val="24"/>
          <w:lang w:val="en-US"/>
        </w:rPr>
      </w:pPr>
      <w:r w:rsidRPr="00E40A93">
        <w:rPr>
          <w:noProof/>
        </w:rPr>
        <w:lastRenderedPageBreak/>
        <w:drawing>
          <wp:inline distT="0" distB="0" distL="0" distR="0">
            <wp:extent cx="4088541" cy="2216505"/>
            <wp:effectExtent l="19050" t="0" r="7209"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090541" cy="2217589"/>
                    </a:xfrm>
                    <a:prstGeom prst="rect">
                      <a:avLst/>
                    </a:prstGeom>
                    <a:noFill/>
                    <a:ln w="9525">
                      <a:noFill/>
                      <a:miter lim="800000"/>
                      <a:headEnd/>
                      <a:tailEnd/>
                    </a:ln>
                  </pic:spPr>
                </pic:pic>
              </a:graphicData>
            </a:graphic>
          </wp:inline>
        </w:drawing>
      </w:r>
    </w:p>
    <w:p w:rsidR="00E40A93" w:rsidRDefault="000C2C92" w:rsidP="000C2C92">
      <w:pPr>
        <w:jc w:val="left"/>
        <w:rPr>
          <w:sz w:val="24"/>
          <w:szCs w:val="24"/>
          <w:lang w:val="en-US"/>
        </w:rPr>
      </w:pPr>
      <w:r>
        <w:rPr>
          <w:sz w:val="24"/>
          <w:szCs w:val="24"/>
          <w:lang w:val="en-US"/>
        </w:rPr>
        <w:t xml:space="preserve">                       </w:t>
      </w:r>
      <w:r>
        <w:rPr>
          <w:sz w:val="24"/>
          <w:szCs w:val="24"/>
          <w:lang w:val="en-GB"/>
        </w:rPr>
        <w:t>Source: ECB</w:t>
      </w:r>
      <w:r w:rsidR="00506733">
        <w:rPr>
          <w:sz w:val="24"/>
          <w:szCs w:val="24"/>
          <w:lang w:val="en-GB"/>
        </w:rPr>
        <w:t>,</w:t>
      </w:r>
      <w:r w:rsidR="00506733" w:rsidRPr="00506733">
        <w:rPr>
          <w:sz w:val="24"/>
          <w:szCs w:val="24"/>
          <w:lang w:val="en-GB"/>
        </w:rPr>
        <w:t xml:space="preserve"> </w:t>
      </w:r>
      <w:r w:rsidR="00506733">
        <w:rPr>
          <w:sz w:val="24"/>
          <w:szCs w:val="24"/>
          <w:lang w:val="en-GB"/>
        </w:rPr>
        <w:t>for more details see Annex.</w:t>
      </w:r>
    </w:p>
    <w:p w:rsidR="000C2C92" w:rsidRDefault="000C2C92" w:rsidP="00E40A93">
      <w:pPr>
        <w:rPr>
          <w:sz w:val="24"/>
          <w:szCs w:val="24"/>
          <w:lang w:val="en-GB"/>
        </w:rPr>
      </w:pPr>
    </w:p>
    <w:p w:rsidR="007E75C5" w:rsidRDefault="007E75C5" w:rsidP="00E40A93">
      <w:pPr>
        <w:rPr>
          <w:sz w:val="24"/>
          <w:szCs w:val="24"/>
          <w:lang w:val="en-GB"/>
        </w:rPr>
      </w:pPr>
    </w:p>
    <w:p w:rsidR="007E75C5" w:rsidRDefault="007E75C5" w:rsidP="00E40A93">
      <w:pPr>
        <w:rPr>
          <w:sz w:val="24"/>
          <w:szCs w:val="24"/>
          <w:lang w:val="en-GB"/>
        </w:rPr>
      </w:pPr>
    </w:p>
    <w:p w:rsidR="007E75C5" w:rsidRDefault="007E75C5" w:rsidP="00E40A93">
      <w:pPr>
        <w:rPr>
          <w:sz w:val="24"/>
          <w:szCs w:val="24"/>
          <w:lang w:val="en-GB"/>
        </w:rPr>
      </w:pPr>
    </w:p>
    <w:p w:rsidR="00E40A93" w:rsidRDefault="000D4365" w:rsidP="00E40A93">
      <w:pPr>
        <w:pStyle w:val="Paragraphedeliste"/>
        <w:numPr>
          <w:ilvl w:val="0"/>
          <w:numId w:val="11"/>
        </w:numPr>
        <w:spacing w:before="240" w:line="360" w:lineRule="auto"/>
        <w:ind w:left="567" w:hanging="283"/>
        <w:rPr>
          <w:sz w:val="24"/>
          <w:szCs w:val="24"/>
          <w:lang w:val="en-US"/>
        </w:rPr>
      </w:pPr>
      <w:r>
        <w:rPr>
          <w:sz w:val="24"/>
          <w:szCs w:val="24"/>
          <w:lang w:val="en-US"/>
        </w:rPr>
        <w:t>Implementation in F</w:t>
      </w:r>
      <w:r w:rsidR="00E40A93" w:rsidRPr="00440995">
        <w:rPr>
          <w:sz w:val="24"/>
          <w:szCs w:val="24"/>
          <w:lang w:val="en-US"/>
        </w:rPr>
        <w:t xml:space="preserve">rance </w:t>
      </w:r>
    </w:p>
    <w:p w:rsidR="003A7C12" w:rsidRDefault="00AD1C42" w:rsidP="00AD1C42">
      <w:pPr>
        <w:spacing w:before="240" w:line="360" w:lineRule="auto"/>
        <w:rPr>
          <w:sz w:val="24"/>
          <w:szCs w:val="24"/>
          <w:lang w:val="en-US"/>
        </w:rPr>
      </w:pPr>
      <w:r>
        <w:rPr>
          <w:sz w:val="24"/>
          <w:szCs w:val="24"/>
          <w:lang w:val="en-US"/>
        </w:rPr>
        <w:t xml:space="preserve">The </w:t>
      </w:r>
      <w:r w:rsidR="005C6871">
        <w:rPr>
          <w:sz w:val="24"/>
          <w:szCs w:val="24"/>
          <w:lang w:val="en-US"/>
        </w:rPr>
        <w:t xml:space="preserve">total balance sheet of </w:t>
      </w:r>
      <w:r>
        <w:rPr>
          <w:sz w:val="24"/>
          <w:szCs w:val="24"/>
          <w:lang w:val="en-US"/>
        </w:rPr>
        <w:t>I</w:t>
      </w:r>
      <w:r w:rsidR="006B6DEB">
        <w:rPr>
          <w:sz w:val="24"/>
          <w:szCs w:val="24"/>
          <w:lang w:val="en-US"/>
        </w:rPr>
        <w:t>C</w:t>
      </w:r>
      <w:r w:rsidR="005C6871">
        <w:rPr>
          <w:sz w:val="24"/>
          <w:szCs w:val="24"/>
          <w:lang w:val="en-US"/>
        </w:rPr>
        <w:t>s</w:t>
      </w:r>
      <w:r w:rsidR="006B6DEB">
        <w:rPr>
          <w:rStyle w:val="Appelnotedebasdep"/>
          <w:szCs w:val="24"/>
          <w:lang w:val="en-US"/>
        </w:rPr>
        <w:footnoteReference w:id="9"/>
      </w:r>
      <w:r>
        <w:rPr>
          <w:sz w:val="24"/>
          <w:szCs w:val="24"/>
          <w:lang w:val="en-US"/>
        </w:rPr>
        <w:t xml:space="preserve"> in France </w:t>
      </w:r>
      <w:r w:rsidR="005C6871">
        <w:rPr>
          <w:sz w:val="24"/>
          <w:szCs w:val="24"/>
          <w:lang w:val="en-US"/>
        </w:rPr>
        <w:t xml:space="preserve">amounts to </w:t>
      </w:r>
      <w:r w:rsidR="00015EA3">
        <w:rPr>
          <w:sz w:val="24"/>
          <w:szCs w:val="24"/>
          <w:lang w:val="en-US"/>
        </w:rPr>
        <w:t>€</w:t>
      </w:r>
      <w:r w:rsidR="00EA3478">
        <w:rPr>
          <w:sz w:val="24"/>
          <w:szCs w:val="24"/>
          <w:lang w:val="en-US"/>
        </w:rPr>
        <w:t xml:space="preserve"> </w:t>
      </w:r>
      <w:r w:rsidR="00015EA3">
        <w:rPr>
          <w:sz w:val="24"/>
          <w:szCs w:val="24"/>
          <w:lang w:val="en-US"/>
        </w:rPr>
        <w:t>2</w:t>
      </w:r>
      <w:r w:rsidR="00EA3478">
        <w:rPr>
          <w:sz w:val="24"/>
          <w:szCs w:val="24"/>
          <w:lang w:val="en-US"/>
        </w:rPr>
        <w:t>.</w:t>
      </w:r>
      <w:r w:rsidR="00015EA3">
        <w:rPr>
          <w:sz w:val="24"/>
          <w:szCs w:val="24"/>
          <w:lang w:val="en-US"/>
        </w:rPr>
        <w:t xml:space="preserve">2 </w:t>
      </w:r>
      <w:r w:rsidR="008C1352">
        <w:rPr>
          <w:sz w:val="24"/>
          <w:szCs w:val="24"/>
          <w:lang w:val="en-US"/>
        </w:rPr>
        <w:t>b</w:t>
      </w:r>
      <w:r w:rsidR="00015EA3">
        <w:rPr>
          <w:sz w:val="24"/>
          <w:szCs w:val="24"/>
          <w:lang w:val="en-US"/>
        </w:rPr>
        <w:t xml:space="preserve">illion </w:t>
      </w:r>
      <w:r>
        <w:rPr>
          <w:sz w:val="24"/>
          <w:szCs w:val="24"/>
          <w:lang w:val="en-US"/>
        </w:rPr>
        <w:t>at the end 2013</w:t>
      </w:r>
      <w:r w:rsidR="00E40C30">
        <w:rPr>
          <w:sz w:val="24"/>
          <w:szCs w:val="24"/>
          <w:lang w:val="en-US"/>
        </w:rPr>
        <w:t xml:space="preserve"> (30% of the total of the euro area)</w:t>
      </w:r>
      <w:r>
        <w:rPr>
          <w:sz w:val="24"/>
          <w:szCs w:val="24"/>
          <w:lang w:val="en-US"/>
        </w:rPr>
        <w:t>.</w:t>
      </w:r>
      <w:r w:rsidR="00015EA3">
        <w:rPr>
          <w:sz w:val="24"/>
          <w:szCs w:val="24"/>
          <w:lang w:val="en-US"/>
        </w:rPr>
        <w:t xml:space="preserve"> </w:t>
      </w:r>
      <w:r w:rsidR="00543EAB">
        <w:rPr>
          <w:sz w:val="24"/>
          <w:szCs w:val="24"/>
          <w:lang w:val="en-US"/>
        </w:rPr>
        <w:t>T</w:t>
      </w:r>
      <w:r w:rsidR="00400DF0">
        <w:rPr>
          <w:sz w:val="24"/>
          <w:szCs w:val="24"/>
          <w:lang w:val="en-US"/>
        </w:rPr>
        <w:t xml:space="preserve">he French </w:t>
      </w:r>
      <w:r w:rsidR="009B25FC">
        <w:rPr>
          <w:sz w:val="24"/>
          <w:szCs w:val="24"/>
          <w:lang w:val="en-US"/>
        </w:rPr>
        <w:t xml:space="preserve">IC </w:t>
      </w:r>
      <w:r w:rsidR="004A7D9E">
        <w:rPr>
          <w:sz w:val="24"/>
          <w:szCs w:val="24"/>
          <w:lang w:val="en-US"/>
        </w:rPr>
        <w:t>sector</w:t>
      </w:r>
      <w:r w:rsidR="004F5CD2">
        <w:rPr>
          <w:rStyle w:val="Appelnotedebasdep"/>
          <w:szCs w:val="24"/>
          <w:lang w:val="en-US"/>
        </w:rPr>
        <w:footnoteReference w:id="10"/>
      </w:r>
      <w:r w:rsidR="00400DF0">
        <w:rPr>
          <w:sz w:val="24"/>
          <w:szCs w:val="24"/>
          <w:lang w:val="en-US"/>
        </w:rPr>
        <w:t xml:space="preserve"> </w:t>
      </w:r>
      <w:r w:rsidR="00543EAB">
        <w:rPr>
          <w:sz w:val="24"/>
          <w:szCs w:val="24"/>
          <w:lang w:val="en-US"/>
        </w:rPr>
        <w:t xml:space="preserve">is very concentrated </w:t>
      </w:r>
      <w:r w:rsidR="00400DF0">
        <w:rPr>
          <w:sz w:val="24"/>
          <w:szCs w:val="24"/>
          <w:lang w:val="en-US"/>
        </w:rPr>
        <w:t>(</w:t>
      </w:r>
      <w:r w:rsidR="00543EAB">
        <w:rPr>
          <w:sz w:val="24"/>
          <w:szCs w:val="24"/>
          <w:lang w:val="en-US"/>
        </w:rPr>
        <w:t>5</w:t>
      </w:r>
      <w:r w:rsidR="004F5CD2">
        <w:rPr>
          <w:sz w:val="24"/>
          <w:szCs w:val="24"/>
          <w:lang w:val="en-US"/>
        </w:rPr>
        <w:t xml:space="preserve">% of IC companies represent 80 % of total </w:t>
      </w:r>
      <w:r w:rsidR="00CD2800">
        <w:rPr>
          <w:sz w:val="24"/>
          <w:szCs w:val="24"/>
          <w:lang w:val="en-US"/>
        </w:rPr>
        <w:t>b</w:t>
      </w:r>
      <w:r w:rsidR="00543EAB">
        <w:rPr>
          <w:sz w:val="24"/>
          <w:szCs w:val="24"/>
          <w:lang w:val="en-US"/>
        </w:rPr>
        <w:t>alance sheet</w:t>
      </w:r>
      <w:r w:rsidR="00400DF0">
        <w:rPr>
          <w:sz w:val="24"/>
          <w:szCs w:val="24"/>
          <w:lang w:val="en-US"/>
        </w:rPr>
        <w:t>)</w:t>
      </w:r>
      <w:r w:rsidR="00543EAB">
        <w:rPr>
          <w:sz w:val="24"/>
          <w:szCs w:val="24"/>
          <w:lang w:val="en-US"/>
        </w:rPr>
        <w:t>.</w:t>
      </w:r>
      <w:r w:rsidR="001331A0">
        <w:rPr>
          <w:sz w:val="24"/>
          <w:szCs w:val="24"/>
          <w:lang w:val="en-US"/>
        </w:rPr>
        <w:t xml:space="preserve"> It is also characterized by a large number of small entities (mutual insurance companies)</w:t>
      </w:r>
      <w:r w:rsidR="0057596D">
        <w:rPr>
          <w:sz w:val="24"/>
          <w:szCs w:val="24"/>
          <w:lang w:val="en-US"/>
        </w:rPr>
        <w:t xml:space="preserve">. </w:t>
      </w:r>
      <w:r w:rsidR="001331A0">
        <w:rPr>
          <w:sz w:val="24"/>
          <w:szCs w:val="24"/>
          <w:lang w:val="en-US"/>
        </w:rPr>
        <w:t xml:space="preserve"> </w:t>
      </w:r>
    </w:p>
    <w:p w:rsidR="00B93A07" w:rsidRDefault="00852BC3" w:rsidP="003E74C8">
      <w:pPr>
        <w:spacing w:before="240" w:line="360" w:lineRule="auto"/>
        <w:jc w:val="center"/>
        <w:rPr>
          <w:sz w:val="24"/>
          <w:szCs w:val="24"/>
          <w:lang w:val="en-US"/>
        </w:rPr>
      </w:pPr>
      <w:r w:rsidRPr="00852BC3">
        <w:rPr>
          <w:noProof/>
          <w:szCs w:val="24"/>
        </w:rPr>
        <w:drawing>
          <wp:inline distT="0" distB="0" distL="0" distR="0">
            <wp:extent cx="4463605" cy="263105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66504" cy="2632766"/>
                    </a:xfrm>
                    <a:prstGeom prst="rect">
                      <a:avLst/>
                    </a:prstGeom>
                    <a:noFill/>
                    <a:ln w="9525">
                      <a:noFill/>
                      <a:miter lim="800000"/>
                      <a:headEnd/>
                      <a:tailEnd/>
                    </a:ln>
                  </pic:spPr>
                </pic:pic>
              </a:graphicData>
            </a:graphic>
          </wp:inline>
        </w:drawing>
      </w:r>
    </w:p>
    <w:p w:rsidR="00BC71DF" w:rsidRDefault="00906A0D" w:rsidP="00AD1C42">
      <w:pPr>
        <w:spacing w:before="240" w:line="360" w:lineRule="auto"/>
        <w:rPr>
          <w:sz w:val="24"/>
          <w:szCs w:val="24"/>
          <w:lang w:val="en-US"/>
        </w:rPr>
      </w:pPr>
      <w:r>
        <w:rPr>
          <w:sz w:val="24"/>
          <w:szCs w:val="24"/>
          <w:lang w:val="en-US"/>
        </w:rPr>
        <w:t xml:space="preserve">The fact finding and the </w:t>
      </w:r>
      <w:r w:rsidR="00151215">
        <w:rPr>
          <w:sz w:val="24"/>
          <w:szCs w:val="24"/>
          <w:lang w:val="en-US"/>
        </w:rPr>
        <w:t>cost assessment</w:t>
      </w:r>
      <w:r>
        <w:rPr>
          <w:sz w:val="24"/>
          <w:szCs w:val="24"/>
          <w:lang w:val="en-US"/>
        </w:rPr>
        <w:t xml:space="preserve"> were conducted in close cooperation with reporting agents and national supervisor</w:t>
      </w:r>
      <w:r w:rsidR="008301F0">
        <w:rPr>
          <w:sz w:val="24"/>
          <w:szCs w:val="24"/>
          <w:lang w:val="en-US"/>
        </w:rPr>
        <w:t>y</w:t>
      </w:r>
      <w:r>
        <w:rPr>
          <w:sz w:val="24"/>
          <w:szCs w:val="24"/>
          <w:lang w:val="en-US"/>
        </w:rPr>
        <w:t xml:space="preserve"> authority</w:t>
      </w:r>
      <w:r w:rsidR="007479EE">
        <w:rPr>
          <w:sz w:val="24"/>
          <w:szCs w:val="24"/>
          <w:lang w:val="en-US"/>
        </w:rPr>
        <w:t>.</w:t>
      </w:r>
      <w:r w:rsidR="003865D6">
        <w:rPr>
          <w:sz w:val="24"/>
          <w:szCs w:val="24"/>
          <w:lang w:val="en-US"/>
        </w:rPr>
        <w:t xml:space="preserve"> </w:t>
      </w:r>
      <w:r w:rsidR="003865D6" w:rsidRPr="003865D6">
        <w:rPr>
          <w:sz w:val="24"/>
          <w:szCs w:val="24"/>
          <w:lang w:val="en-US"/>
        </w:rPr>
        <w:t xml:space="preserve">In France, the reporting population is characterized </w:t>
      </w:r>
      <w:r w:rsidR="003865D6" w:rsidRPr="003865D6">
        <w:rPr>
          <w:sz w:val="24"/>
          <w:szCs w:val="24"/>
          <w:lang w:val="en-US"/>
        </w:rPr>
        <w:lastRenderedPageBreak/>
        <w:t xml:space="preserve">by its heterogeneity with a very large number of small entities. These latter support very high costs to fulfill the annual reporting requirements given the size </w:t>
      </w:r>
      <w:r w:rsidR="00FD4D05">
        <w:rPr>
          <w:sz w:val="24"/>
          <w:szCs w:val="24"/>
          <w:lang w:val="en-US"/>
        </w:rPr>
        <w:t xml:space="preserve">of their balance sheet which its </w:t>
      </w:r>
      <w:r w:rsidR="003865D6" w:rsidRPr="003865D6">
        <w:rPr>
          <w:sz w:val="24"/>
          <w:szCs w:val="24"/>
          <w:lang w:val="en-US"/>
        </w:rPr>
        <w:t xml:space="preserve"> insignificant </w:t>
      </w:r>
      <w:r w:rsidR="00FD4D05">
        <w:rPr>
          <w:sz w:val="24"/>
          <w:szCs w:val="24"/>
          <w:lang w:val="en-US"/>
        </w:rPr>
        <w:t xml:space="preserve">compared to </w:t>
      </w:r>
      <w:r w:rsidR="003865D6">
        <w:rPr>
          <w:sz w:val="24"/>
          <w:szCs w:val="24"/>
          <w:lang w:val="en-US"/>
        </w:rPr>
        <w:t xml:space="preserve">the </w:t>
      </w:r>
      <w:r w:rsidR="003865D6" w:rsidRPr="003865D6">
        <w:rPr>
          <w:sz w:val="24"/>
          <w:szCs w:val="24"/>
          <w:lang w:val="en-US"/>
        </w:rPr>
        <w:t>total of the sector (</w:t>
      </w:r>
      <w:r w:rsidR="00130A0A">
        <w:rPr>
          <w:sz w:val="24"/>
          <w:szCs w:val="24"/>
          <w:lang w:val="en-US"/>
        </w:rPr>
        <w:t>About  85</w:t>
      </w:r>
      <w:r w:rsidR="003865D6" w:rsidRPr="003865D6">
        <w:rPr>
          <w:sz w:val="24"/>
          <w:szCs w:val="24"/>
          <w:lang w:val="en-US"/>
        </w:rPr>
        <w:t>% of the population stands for only 5 % of total balance sheet</w:t>
      </w:r>
      <w:r w:rsidR="00FD4D05">
        <w:rPr>
          <w:sz w:val="24"/>
          <w:szCs w:val="24"/>
          <w:lang w:val="en-US"/>
        </w:rPr>
        <w:t>)</w:t>
      </w:r>
      <w:r w:rsidR="003865D6" w:rsidRPr="003865D6">
        <w:rPr>
          <w:sz w:val="24"/>
          <w:szCs w:val="24"/>
          <w:lang w:val="en-US"/>
        </w:rPr>
        <w:t>.</w:t>
      </w:r>
      <w:r w:rsidR="003865D6">
        <w:rPr>
          <w:sz w:val="24"/>
          <w:szCs w:val="24"/>
          <w:lang w:val="en-US"/>
        </w:rPr>
        <w:t xml:space="preserve"> </w:t>
      </w:r>
      <w:r w:rsidR="007479EE">
        <w:rPr>
          <w:sz w:val="24"/>
          <w:szCs w:val="24"/>
          <w:lang w:val="en-US"/>
        </w:rPr>
        <w:t xml:space="preserve"> </w:t>
      </w:r>
      <w:r w:rsidR="003865D6">
        <w:rPr>
          <w:sz w:val="24"/>
          <w:szCs w:val="24"/>
          <w:lang w:val="en-US"/>
        </w:rPr>
        <w:t xml:space="preserve">This is why </w:t>
      </w:r>
      <w:r w:rsidR="00151215">
        <w:rPr>
          <w:sz w:val="24"/>
          <w:szCs w:val="24"/>
          <w:lang w:val="en-US"/>
        </w:rPr>
        <w:t>reporting agents were also actively associated to the cost assessment by setting up multiple meetings with French professional associations (during July 2013) in order to draw their attention on the ECB statistical requirements that are not part of solvency II reporting templates</w:t>
      </w:r>
      <w:r w:rsidR="00FD4D05">
        <w:rPr>
          <w:sz w:val="24"/>
          <w:szCs w:val="24"/>
          <w:lang w:val="en-US"/>
        </w:rPr>
        <w:t>.</w:t>
      </w:r>
      <w:r w:rsidR="00151215">
        <w:rPr>
          <w:sz w:val="24"/>
          <w:szCs w:val="24"/>
          <w:lang w:val="en-US"/>
        </w:rPr>
        <w:t xml:space="preserve"> Thus, r</w:t>
      </w:r>
      <w:r w:rsidR="001379CD">
        <w:rPr>
          <w:sz w:val="24"/>
          <w:szCs w:val="24"/>
          <w:lang w:val="en-US"/>
        </w:rPr>
        <w:t xml:space="preserve">eporting agents </w:t>
      </w:r>
      <w:r w:rsidR="008301F0">
        <w:rPr>
          <w:sz w:val="24"/>
          <w:szCs w:val="24"/>
          <w:lang w:val="en-US"/>
        </w:rPr>
        <w:t xml:space="preserve">had </w:t>
      </w:r>
      <w:r w:rsidR="001379CD">
        <w:rPr>
          <w:sz w:val="24"/>
          <w:szCs w:val="24"/>
          <w:lang w:val="en-US"/>
        </w:rPr>
        <w:t xml:space="preserve">been </w:t>
      </w:r>
      <w:r w:rsidR="000B44EA">
        <w:rPr>
          <w:sz w:val="24"/>
          <w:szCs w:val="24"/>
          <w:lang w:val="en-US"/>
        </w:rPr>
        <w:t>made aware</w:t>
      </w:r>
      <w:r w:rsidR="001379CD">
        <w:rPr>
          <w:sz w:val="24"/>
          <w:szCs w:val="24"/>
          <w:lang w:val="en-US"/>
        </w:rPr>
        <w:t xml:space="preserve"> </w:t>
      </w:r>
      <w:r w:rsidR="00F05CB3">
        <w:rPr>
          <w:sz w:val="24"/>
          <w:szCs w:val="24"/>
          <w:lang w:val="en-US"/>
        </w:rPr>
        <w:t>of</w:t>
      </w:r>
      <w:r w:rsidR="001379CD">
        <w:rPr>
          <w:sz w:val="24"/>
          <w:szCs w:val="24"/>
          <w:lang w:val="en-US"/>
        </w:rPr>
        <w:t xml:space="preserve"> the ECB new statistical requirements </w:t>
      </w:r>
      <w:r w:rsidR="008301F0">
        <w:rPr>
          <w:sz w:val="24"/>
          <w:szCs w:val="24"/>
          <w:lang w:val="en-US"/>
        </w:rPr>
        <w:t xml:space="preserve">since </w:t>
      </w:r>
      <w:r w:rsidR="001379CD">
        <w:rPr>
          <w:sz w:val="24"/>
          <w:szCs w:val="24"/>
          <w:lang w:val="en-US"/>
        </w:rPr>
        <w:t>the very beginning</w:t>
      </w:r>
      <w:r w:rsidR="008301F0">
        <w:rPr>
          <w:sz w:val="24"/>
          <w:szCs w:val="24"/>
          <w:lang w:val="en-US"/>
        </w:rPr>
        <w:t xml:space="preserve"> of the process</w:t>
      </w:r>
      <w:r w:rsidR="001379CD">
        <w:rPr>
          <w:sz w:val="24"/>
          <w:szCs w:val="24"/>
          <w:lang w:val="en-US"/>
        </w:rPr>
        <w:t xml:space="preserve"> in order to enhance their motivation and participation </w:t>
      </w:r>
      <w:r w:rsidR="00151215">
        <w:rPr>
          <w:sz w:val="24"/>
          <w:szCs w:val="24"/>
          <w:lang w:val="en-US"/>
        </w:rPr>
        <w:t>to</w:t>
      </w:r>
      <w:r w:rsidR="00013FA5">
        <w:rPr>
          <w:sz w:val="24"/>
          <w:szCs w:val="24"/>
          <w:lang w:val="en-US"/>
        </w:rPr>
        <w:t xml:space="preserve"> </w:t>
      </w:r>
      <w:r w:rsidR="000B44EA">
        <w:rPr>
          <w:sz w:val="24"/>
          <w:szCs w:val="24"/>
          <w:lang w:val="en-US"/>
        </w:rPr>
        <w:t xml:space="preserve">the </w:t>
      </w:r>
      <w:r w:rsidR="00151215">
        <w:rPr>
          <w:sz w:val="24"/>
          <w:szCs w:val="24"/>
          <w:lang w:val="en-US"/>
        </w:rPr>
        <w:t>coming IC regulation</w:t>
      </w:r>
      <w:r w:rsidR="000B44EA">
        <w:rPr>
          <w:sz w:val="24"/>
          <w:szCs w:val="24"/>
          <w:lang w:val="en-US"/>
        </w:rPr>
        <w:t xml:space="preserve">. </w:t>
      </w:r>
    </w:p>
    <w:p w:rsidR="007E75C5" w:rsidRDefault="007E75C5" w:rsidP="00E056DD">
      <w:pPr>
        <w:spacing w:before="240" w:line="360" w:lineRule="auto"/>
        <w:rPr>
          <w:b/>
          <w:color w:val="1F497D" w:themeColor="text2"/>
          <w:sz w:val="24"/>
          <w:szCs w:val="24"/>
          <w:u w:val="single"/>
          <w:lang w:val="en-US"/>
        </w:rPr>
      </w:pPr>
    </w:p>
    <w:p w:rsidR="007E75C5" w:rsidRDefault="007E75C5" w:rsidP="00E056DD">
      <w:pPr>
        <w:spacing w:before="240" w:line="360" w:lineRule="auto"/>
        <w:rPr>
          <w:b/>
          <w:color w:val="1F497D" w:themeColor="text2"/>
          <w:sz w:val="24"/>
          <w:szCs w:val="24"/>
          <w:u w:val="single"/>
          <w:lang w:val="en-US"/>
        </w:rPr>
      </w:pPr>
    </w:p>
    <w:p w:rsidR="00937AA5" w:rsidRPr="00B171A7" w:rsidRDefault="007155BE" w:rsidP="00E056DD">
      <w:pPr>
        <w:spacing w:before="240" w:line="360" w:lineRule="auto"/>
        <w:rPr>
          <w:b/>
          <w:color w:val="1F497D" w:themeColor="text2"/>
          <w:sz w:val="24"/>
          <w:szCs w:val="24"/>
          <w:u w:val="single"/>
          <w:lang w:val="en-US"/>
        </w:rPr>
      </w:pPr>
      <w:r w:rsidRPr="00440995">
        <w:rPr>
          <w:b/>
          <w:color w:val="1F497D" w:themeColor="text2"/>
          <w:sz w:val="24"/>
          <w:szCs w:val="24"/>
          <w:u w:val="single"/>
          <w:lang w:val="en-US"/>
        </w:rPr>
        <w:t>3.</w:t>
      </w:r>
      <w:r w:rsidR="00937AA5" w:rsidRPr="00440995">
        <w:rPr>
          <w:b/>
          <w:color w:val="1F497D" w:themeColor="text2"/>
          <w:sz w:val="24"/>
          <w:szCs w:val="24"/>
          <w:u w:val="single"/>
          <w:lang w:val="en-US"/>
        </w:rPr>
        <w:t xml:space="preserve"> The merits &amp; costs exercise: a quality assurance procedure </w:t>
      </w:r>
    </w:p>
    <w:p w:rsidR="008410EC" w:rsidRDefault="008410EC" w:rsidP="00BE7AA0">
      <w:pPr>
        <w:pStyle w:val="Paragraphedeliste"/>
        <w:numPr>
          <w:ilvl w:val="1"/>
          <w:numId w:val="19"/>
        </w:numPr>
        <w:spacing w:before="240" w:line="360" w:lineRule="auto"/>
        <w:ind w:left="0" w:firstLine="0"/>
        <w:rPr>
          <w:b/>
          <w:i/>
          <w:sz w:val="24"/>
          <w:szCs w:val="24"/>
          <w:lang w:val="en-US"/>
        </w:rPr>
      </w:pPr>
      <w:r w:rsidRPr="00440995">
        <w:rPr>
          <w:b/>
          <w:i/>
          <w:sz w:val="24"/>
          <w:szCs w:val="24"/>
          <w:lang w:val="en-US"/>
        </w:rPr>
        <w:t>Cost effectiveness through the merits &amp; costs exercise</w:t>
      </w:r>
    </w:p>
    <w:p w:rsidR="00BE7AA0" w:rsidRPr="00BE7AA0" w:rsidRDefault="00BE7AA0" w:rsidP="00BE7AA0">
      <w:pPr>
        <w:pStyle w:val="Paragraphedeliste"/>
        <w:spacing w:before="240" w:line="360" w:lineRule="auto"/>
        <w:ind w:left="567"/>
        <w:rPr>
          <w:sz w:val="24"/>
          <w:szCs w:val="24"/>
          <w:lang w:val="en-US"/>
        </w:rPr>
      </w:pPr>
    </w:p>
    <w:p w:rsidR="008410EC" w:rsidRDefault="003B0242" w:rsidP="00BE7AA0">
      <w:pPr>
        <w:pStyle w:val="Paragraphedeliste"/>
        <w:numPr>
          <w:ilvl w:val="0"/>
          <w:numId w:val="11"/>
        </w:numPr>
        <w:spacing w:before="240" w:line="360" w:lineRule="auto"/>
        <w:ind w:left="567" w:hanging="283"/>
        <w:rPr>
          <w:sz w:val="24"/>
          <w:szCs w:val="24"/>
          <w:lang w:val="en-US"/>
        </w:rPr>
      </w:pPr>
      <w:r w:rsidRPr="00440995">
        <w:rPr>
          <w:sz w:val="24"/>
          <w:szCs w:val="24"/>
          <w:lang w:val="en-US"/>
        </w:rPr>
        <w:t xml:space="preserve">Balancing </w:t>
      </w:r>
      <w:r w:rsidR="008264E1" w:rsidRPr="00440995">
        <w:rPr>
          <w:sz w:val="24"/>
          <w:szCs w:val="24"/>
          <w:lang w:val="en-US"/>
        </w:rPr>
        <w:t xml:space="preserve">the stakeholders interests : minimizing the </w:t>
      </w:r>
      <w:r w:rsidRPr="00440995">
        <w:rPr>
          <w:sz w:val="24"/>
          <w:szCs w:val="24"/>
          <w:lang w:val="en-US"/>
        </w:rPr>
        <w:t xml:space="preserve">costs </w:t>
      </w:r>
      <w:r w:rsidR="008264E1" w:rsidRPr="00440995">
        <w:rPr>
          <w:sz w:val="24"/>
          <w:szCs w:val="24"/>
          <w:lang w:val="en-US"/>
        </w:rPr>
        <w:t>of NCBs and reporting agents while satisfying the</w:t>
      </w:r>
      <w:r w:rsidRPr="00440995">
        <w:rPr>
          <w:sz w:val="24"/>
          <w:szCs w:val="24"/>
          <w:lang w:val="en-US"/>
        </w:rPr>
        <w:t xml:space="preserve"> needs </w:t>
      </w:r>
      <w:r w:rsidR="008264E1" w:rsidRPr="00440995">
        <w:rPr>
          <w:sz w:val="24"/>
          <w:szCs w:val="24"/>
          <w:lang w:val="en-US"/>
        </w:rPr>
        <w:t xml:space="preserve">of </w:t>
      </w:r>
      <w:r w:rsidR="008410EC" w:rsidRPr="00440995">
        <w:rPr>
          <w:sz w:val="24"/>
          <w:szCs w:val="24"/>
          <w:lang w:val="en-US"/>
        </w:rPr>
        <w:t>users</w:t>
      </w:r>
    </w:p>
    <w:p w:rsidR="001C760B" w:rsidRDefault="001D2FCA" w:rsidP="00947922">
      <w:pPr>
        <w:spacing w:before="240" w:line="360" w:lineRule="auto"/>
        <w:rPr>
          <w:sz w:val="24"/>
          <w:szCs w:val="24"/>
          <w:lang w:val="en-GB"/>
        </w:rPr>
      </w:pPr>
      <w:r>
        <w:rPr>
          <w:sz w:val="24"/>
          <w:szCs w:val="24"/>
          <w:lang w:val="en-GB"/>
        </w:rPr>
        <w:t>T</w:t>
      </w:r>
      <w:r w:rsidRPr="001D2FCA">
        <w:rPr>
          <w:sz w:val="24"/>
          <w:szCs w:val="24"/>
          <w:lang w:val="en-GB"/>
        </w:rPr>
        <w:t xml:space="preserve">he </w:t>
      </w:r>
      <w:r w:rsidR="001C760B">
        <w:rPr>
          <w:sz w:val="24"/>
          <w:szCs w:val="24"/>
          <w:lang w:val="en-GB"/>
        </w:rPr>
        <w:t>merits and costs procedure ensure</w:t>
      </w:r>
      <w:r w:rsidR="005A3B72">
        <w:rPr>
          <w:sz w:val="24"/>
          <w:szCs w:val="24"/>
          <w:lang w:val="en-GB"/>
        </w:rPr>
        <w:t>s</w:t>
      </w:r>
      <w:r w:rsidR="001C760B">
        <w:rPr>
          <w:sz w:val="24"/>
          <w:szCs w:val="24"/>
          <w:lang w:val="en-GB"/>
        </w:rPr>
        <w:t xml:space="preserve"> the cost effectiveness of the </w:t>
      </w:r>
      <w:r w:rsidR="001C760B" w:rsidRPr="001C760B">
        <w:rPr>
          <w:sz w:val="24"/>
          <w:szCs w:val="24"/>
          <w:lang w:val="en-GB"/>
        </w:rPr>
        <w:t>ESCB statistics</w:t>
      </w:r>
      <w:r w:rsidR="005A3B72">
        <w:rPr>
          <w:sz w:val="24"/>
          <w:szCs w:val="24"/>
          <w:lang w:val="en-GB"/>
        </w:rPr>
        <w:t xml:space="preserve"> through the </w:t>
      </w:r>
      <w:r w:rsidR="001C760B">
        <w:rPr>
          <w:sz w:val="24"/>
          <w:szCs w:val="24"/>
          <w:lang w:val="en-GB"/>
        </w:rPr>
        <w:t xml:space="preserve">balancing </w:t>
      </w:r>
      <w:r w:rsidR="005A3B72">
        <w:rPr>
          <w:sz w:val="24"/>
          <w:szCs w:val="24"/>
          <w:lang w:val="en-GB"/>
        </w:rPr>
        <w:t xml:space="preserve">of </w:t>
      </w:r>
      <w:r w:rsidR="001C760B">
        <w:rPr>
          <w:sz w:val="24"/>
          <w:szCs w:val="24"/>
          <w:lang w:val="en-GB"/>
        </w:rPr>
        <w:t>merits and costs for each</w:t>
      </w:r>
      <w:r w:rsidR="005A3B72">
        <w:rPr>
          <w:sz w:val="24"/>
          <w:szCs w:val="24"/>
          <w:lang w:val="en-GB"/>
        </w:rPr>
        <w:t xml:space="preserve"> new statistical requirement seeking in the meantime if </w:t>
      </w:r>
      <w:r w:rsidR="005A3B72" w:rsidRPr="005A3B72">
        <w:rPr>
          <w:sz w:val="24"/>
          <w:szCs w:val="24"/>
          <w:lang w:val="en-GB"/>
        </w:rPr>
        <w:t xml:space="preserve">the information </w:t>
      </w:r>
      <w:r w:rsidR="005A3B72">
        <w:rPr>
          <w:sz w:val="24"/>
          <w:szCs w:val="24"/>
          <w:lang w:val="en-GB"/>
        </w:rPr>
        <w:t xml:space="preserve">needed can </w:t>
      </w:r>
      <w:r w:rsidR="005A3B72" w:rsidRPr="005A3B72">
        <w:rPr>
          <w:sz w:val="24"/>
          <w:szCs w:val="24"/>
          <w:lang w:val="en-GB"/>
        </w:rPr>
        <w:t xml:space="preserve">be collected from </w:t>
      </w:r>
      <w:r w:rsidR="005A3B72">
        <w:rPr>
          <w:sz w:val="24"/>
          <w:szCs w:val="24"/>
          <w:lang w:val="en-GB"/>
        </w:rPr>
        <w:t xml:space="preserve">already </w:t>
      </w:r>
      <w:r w:rsidR="005A3B72" w:rsidRPr="005A3B72">
        <w:rPr>
          <w:sz w:val="24"/>
          <w:szCs w:val="24"/>
          <w:lang w:val="en-GB"/>
        </w:rPr>
        <w:t>available sources</w:t>
      </w:r>
      <w:r w:rsidR="005A3B72">
        <w:rPr>
          <w:sz w:val="24"/>
          <w:szCs w:val="24"/>
          <w:lang w:val="en-GB"/>
        </w:rPr>
        <w:t>.</w:t>
      </w:r>
      <w:r w:rsidR="00745D42">
        <w:rPr>
          <w:sz w:val="24"/>
          <w:szCs w:val="24"/>
          <w:lang w:val="en-GB"/>
        </w:rPr>
        <w:t xml:space="preserve"> Doing that, this procedure ensures that resources are used optimally</w:t>
      </w:r>
      <w:r w:rsidR="00CE09AB">
        <w:rPr>
          <w:sz w:val="24"/>
          <w:szCs w:val="24"/>
          <w:lang w:val="en-GB"/>
        </w:rPr>
        <w:t xml:space="preserve"> and that user</w:t>
      </w:r>
      <w:r w:rsidR="00151215">
        <w:rPr>
          <w:sz w:val="24"/>
          <w:szCs w:val="24"/>
          <w:lang w:val="en-GB"/>
        </w:rPr>
        <w:t>’</w:t>
      </w:r>
      <w:r w:rsidR="00CE09AB">
        <w:rPr>
          <w:sz w:val="24"/>
          <w:szCs w:val="24"/>
          <w:lang w:val="en-GB"/>
        </w:rPr>
        <w:t xml:space="preserve"> requirements on timeliness, frequency, instruments detail and sector counterpart breakdown are fulfilled.</w:t>
      </w:r>
    </w:p>
    <w:p w:rsidR="002B0871" w:rsidRDefault="001234A4" w:rsidP="002B0871">
      <w:pPr>
        <w:spacing w:before="240" w:line="360" w:lineRule="auto"/>
        <w:rPr>
          <w:sz w:val="24"/>
          <w:szCs w:val="24"/>
          <w:lang w:val="en-US"/>
        </w:rPr>
      </w:pPr>
      <w:r>
        <w:rPr>
          <w:sz w:val="24"/>
          <w:szCs w:val="24"/>
          <w:lang w:val="en-US"/>
        </w:rPr>
        <w:t xml:space="preserve">Moreover </w:t>
      </w:r>
      <w:r w:rsidR="001D2FCA">
        <w:rPr>
          <w:sz w:val="24"/>
          <w:szCs w:val="24"/>
          <w:lang w:val="en-US"/>
        </w:rPr>
        <w:t>Solvency II</w:t>
      </w:r>
      <w:r w:rsidR="001D2FCA" w:rsidRPr="001D2FCA">
        <w:rPr>
          <w:sz w:val="24"/>
          <w:szCs w:val="24"/>
          <w:lang w:val="en-US"/>
        </w:rPr>
        <w:t xml:space="preserve"> templates are seen as a key element to meet user needs, i.e. both the expected requirements of the ESRB and of financial stability analysis, as well as those for monetary policy purposes, as the supervisory templates cover reporting of solo and consolidated accounts</w:t>
      </w:r>
      <w:r w:rsidR="00AB592D">
        <w:rPr>
          <w:sz w:val="24"/>
          <w:szCs w:val="24"/>
          <w:lang w:val="en-US"/>
        </w:rPr>
        <w:t>.</w:t>
      </w:r>
      <w:r w:rsidR="001D2FCA" w:rsidRPr="001D2FCA">
        <w:rPr>
          <w:sz w:val="24"/>
          <w:szCs w:val="24"/>
          <w:lang w:val="en-US"/>
        </w:rPr>
        <w:t xml:space="preserve"> </w:t>
      </w:r>
    </w:p>
    <w:p w:rsidR="008410EC" w:rsidRPr="00B171A7" w:rsidRDefault="008410EC" w:rsidP="00E056DD">
      <w:pPr>
        <w:spacing w:before="240" w:line="360" w:lineRule="auto"/>
        <w:rPr>
          <w:b/>
          <w:i/>
          <w:sz w:val="24"/>
          <w:szCs w:val="24"/>
          <w:lang w:val="en-US"/>
        </w:rPr>
      </w:pPr>
      <w:r w:rsidRPr="00440995">
        <w:rPr>
          <w:b/>
          <w:i/>
          <w:sz w:val="24"/>
          <w:szCs w:val="24"/>
          <w:lang w:val="en-US"/>
        </w:rPr>
        <w:t xml:space="preserve">3.2 </w:t>
      </w:r>
      <w:r w:rsidR="00917056" w:rsidRPr="00440995">
        <w:rPr>
          <w:b/>
          <w:i/>
          <w:sz w:val="24"/>
          <w:szCs w:val="24"/>
          <w:lang w:val="en-US"/>
        </w:rPr>
        <w:t>Minimizing the reporting</w:t>
      </w:r>
      <w:r w:rsidR="00F956E9" w:rsidRPr="00440995">
        <w:rPr>
          <w:b/>
          <w:i/>
          <w:sz w:val="24"/>
          <w:szCs w:val="24"/>
          <w:lang w:val="en-US"/>
        </w:rPr>
        <w:t xml:space="preserve"> burden </w:t>
      </w:r>
    </w:p>
    <w:p w:rsidR="007A6413" w:rsidRPr="00B171A7" w:rsidRDefault="00F956E9" w:rsidP="00BE7AA0">
      <w:pPr>
        <w:pStyle w:val="Paragraphedeliste"/>
        <w:numPr>
          <w:ilvl w:val="0"/>
          <w:numId w:val="11"/>
        </w:numPr>
        <w:spacing w:before="240" w:line="360" w:lineRule="auto"/>
        <w:ind w:left="567" w:hanging="283"/>
        <w:rPr>
          <w:sz w:val="24"/>
          <w:szCs w:val="24"/>
          <w:lang w:val="en-US"/>
        </w:rPr>
      </w:pPr>
      <w:r w:rsidRPr="00440995">
        <w:rPr>
          <w:sz w:val="24"/>
          <w:szCs w:val="24"/>
          <w:lang w:val="en-US"/>
        </w:rPr>
        <w:t>Taking in</w:t>
      </w:r>
      <w:r w:rsidR="008A1C11" w:rsidRPr="00440995">
        <w:rPr>
          <w:sz w:val="24"/>
          <w:szCs w:val="24"/>
          <w:lang w:val="en-US"/>
        </w:rPr>
        <w:t>to</w:t>
      </w:r>
      <w:r w:rsidRPr="00440995">
        <w:rPr>
          <w:sz w:val="24"/>
          <w:szCs w:val="24"/>
          <w:lang w:val="en-US"/>
        </w:rPr>
        <w:t xml:space="preserve"> account the highest costs : suppression of some features </w:t>
      </w:r>
    </w:p>
    <w:p w:rsidR="00AA1B8B" w:rsidRDefault="00CC0764" w:rsidP="00E056DD">
      <w:pPr>
        <w:spacing w:before="240" w:after="170" w:line="360" w:lineRule="auto"/>
        <w:rPr>
          <w:sz w:val="24"/>
          <w:szCs w:val="24"/>
          <w:lang w:val="en-US"/>
        </w:rPr>
      </w:pPr>
      <w:r>
        <w:rPr>
          <w:sz w:val="24"/>
          <w:szCs w:val="24"/>
          <w:lang w:val="en-US"/>
        </w:rPr>
        <w:lastRenderedPageBreak/>
        <w:t xml:space="preserve">In the </w:t>
      </w:r>
      <w:r w:rsidRPr="00440995">
        <w:rPr>
          <w:sz w:val="24"/>
          <w:szCs w:val="24"/>
          <w:lang w:val="en-US"/>
        </w:rPr>
        <w:t>ESCB</w:t>
      </w:r>
      <w:r>
        <w:rPr>
          <w:sz w:val="24"/>
          <w:szCs w:val="24"/>
          <w:lang w:val="en-US"/>
        </w:rPr>
        <w:t xml:space="preserve"> statistics context, t</w:t>
      </w:r>
      <w:r w:rsidR="001C760B">
        <w:rPr>
          <w:sz w:val="24"/>
          <w:szCs w:val="24"/>
          <w:lang w:val="en-US"/>
        </w:rPr>
        <w:t xml:space="preserve">he </w:t>
      </w:r>
      <w:r w:rsidR="00542648">
        <w:rPr>
          <w:sz w:val="24"/>
          <w:szCs w:val="24"/>
          <w:lang w:val="en-US"/>
        </w:rPr>
        <w:t>m</w:t>
      </w:r>
      <w:r w:rsidR="00542648" w:rsidRPr="00440995">
        <w:rPr>
          <w:sz w:val="24"/>
          <w:szCs w:val="24"/>
          <w:lang w:val="en-US"/>
        </w:rPr>
        <w:t>inimization</w:t>
      </w:r>
      <w:r w:rsidR="001B7B00">
        <w:rPr>
          <w:sz w:val="24"/>
          <w:szCs w:val="24"/>
          <w:lang w:val="en-US"/>
        </w:rPr>
        <w:t xml:space="preserve"> of the reporting burden</w:t>
      </w:r>
      <w:r w:rsidR="00255F19" w:rsidRPr="00255F19">
        <w:rPr>
          <w:sz w:val="24"/>
          <w:szCs w:val="24"/>
          <w:lang w:val="en-US"/>
        </w:rPr>
        <w:t xml:space="preserve"> </w:t>
      </w:r>
      <w:r w:rsidR="00255F19">
        <w:rPr>
          <w:sz w:val="24"/>
          <w:szCs w:val="24"/>
          <w:lang w:val="en-US"/>
        </w:rPr>
        <w:t>is related</w:t>
      </w:r>
      <w:r>
        <w:rPr>
          <w:sz w:val="24"/>
          <w:szCs w:val="24"/>
          <w:lang w:val="en-US"/>
        </w:rPr>
        <w:t xml:space="preserve"> </w:t>
      </w:r>
      <w:r w:rsidR="001B7B00">
        <w:rPr>
          <w:sz w:val="24"/>
          <w:szCs w:val="24"/>
          <w:lang w:val="en-US"/>
        </w:rPr>
        <w:t>to the procedures that</w:t>
      </w:r>
      <w:r w:rsidR="007A6413" w:rsidRPr="00440995">
        <w:rPr>
          <w:sz w:val="24"/>
          <w:szCs w:val="24"/>
          <w:lang w:val="en-US"/>
        </w:rPr>
        <w:t xml:space="preserve"> enable user requirements to be met while </w:t>
      </w:r>
      <w:r>
        <w:rPr>
          <w:sz w:val="24"/>
          <w:szCs w:val="24"/>
          <w:lang w:val="en-US"/>
        </w:rPr>
        <w:t xml:space="preserve">reducing </w:t>
      </w:r>
      <w:r w:rsidR="007A6413" w:rsidRPr="00440995">
        <w:rPr>
          <w:sz w:val="24"/>
          <w:szCs w:val="24"/>
          <w:lang w:val="en-US"/>
        </w:rPr>
        <w:t>the burden on reporting agents</w:t>
      </w:r>
      <w:r w:rsidR="001B7B00">
        <w:rPr>
          <w:sz w:val="24"/>
          <w:szCs w:val="24"/>
          <w:lang w:val="en-US"/>
        </w:rPr>
        <w:t xml:space="preserve">. </w:t>
      </w:r>
    </w:p>
    <w:p w:rsidR="007A6413" w:rsidRPr="00440995" w:rsidRDefault="003222A9" w:rsidP="00E056DD">
      <w:pPr>
        <w:spacing w:before="240" w:after="170" w:line="360" w:lineRule="auto"/>
        <w:rPr>
          <w:sz w:val="24"/>
          <w:szCs w:val="24"/>
          <w:lang w:val="en-US"/>
        </w:rPr>
      </w:pPr>
      <w:r>
        <w:rPr>
          <w:sz w:val="24"/>
          <w:szCs w:val="24"/>
          <w:lang w:val="en-US"/>
        </w:rPr>
        <w:t>The application of this principle</w:t>
      </w:r>
      <w:r w:rsidR="00B714AD">
        <w:rPr>
          <w:sz w:val="24"/>
          <w:szCs w:val="24"/>
          <w:lang w:val="en-US"/>
        </w:rPr>
        <w:t xml:space="preserve"> in the merits and costs procedure</w:t>
      </w:r>
      <w:r>
        <w:rPr>
          <w:sz w:val="24"/>
          <w:szCs w:val="24"/>
          <w:lang w:val="en-US"/>
        </w:rPr>
        <w:t xml:space="preserve"> has conducted to drop some features that were </w:t>
      </w:r>
      <w:r w:rsidR="00A24E93">
        <w:rPr>
          <w:sz w:val="24"/>
          <w:szCs w:val="24"/>
          <w:lang w:val="en-US"/>
        </w:rPr>
        <w:t xml:space="preserve">not </w:t>
      </w:r>
      <w:r>
        <w:rPr>
          <w:sz w:val="24"/>
          <w:szCs w:val="24"/>
          <w:lang w:val="en-US"/>
        </w:rPr>
        <w:t xml:space="preserve">estimated </w:t>
      </w:r>
      <w:r w:rsidR="00CC35F1">
        <w:rPr>
          <w:sz w:val="24"/>
          <w:szCs w:val="24"/>
          <w:lang w:val="en-US"/>
        </w:rPr>
        <w:t>necessary to the users</w:t>
      </w:r>
      <w:r w:rsidR="0010324E">
        <w:rPr>
          <w:sz w:val="24"/>
          <w:szCs w:val="24"/>
          <w:lang w:val="en-US"/>
        </w:rPr>
        <w:t>’</w:t>
      </w:r>
      <w:r w:rsidR="00CC35F1">
        <w:rPr>
          <w:sz w:val="24"/>
          <w:szCs w:val="24"/>
          <w:lang w:val="en-US"/>
        </w:rPr>
        <w:t xml:space="preserve"> needs and</w:t>
      </w:r>
      <w:r w:rsidR="00E31E69">
        <w:rPr>
          <w:sz w:val="24"/>
          <w:szCs w:val="24"/>
          <w:lang w:val="en-US"/>
        </w:rPr>
        <w:t>/or</w:t>
      </w:r>
      <w:r w:rsidR="00CC35F1">
        <w:rPr>
          <w:sz w:val="24"/>
          <w:szCs w:val="24"/>
          <w:lang w:val="en-US"/>
        </w:rPr>
        <w:t xml:space="preserve"> too costly given the estimations of the reporting agents</w:t>
      </w:r>
      <w:r w:rsidR="00A00825">
        <w:rPr>
          <w:sz w:val="24"/>
          <w:szCs w:val="24"/>
          <w:lang w:val="en-US"/>
        </w:rPr>
        <w:t>.</w:t>
      </w:r>
      <w:r w:rsidR="00215534">
        <w:rPr>
          <w:sz w:val="24"/>
          <w:szCs w:val="24"/>
          <w:lang w:val="en-US"/>
        </w:rPr>
        <w:t xml:space="preserve"> For instance, requirements on loans at nominal value (3e), and </w:t>
      </w:r>
      <w:r w:rsidR="00243B76">
        <w:rPr>
          <w:sz w:val="24"/>
          <w:szCs w:val="24"/>
          <w:lang w:val="en-US"/>
        </w:rPr>
        <w:t xml:space="preserve">on </w:t>
      </w:r>
      <w:r w:rsidR="00215534">
        <w:rPr>
          <w:sz w:val="24"/>
          <w:szCs w:val="24"/>
          <w:lang w:val="en-US"/>
        </w:rPr>
        <w:t xml:space="preserve">holding </w:t>
      </w:r>
      <w:r w:rsidR="00215534" w:rsidRPr="00215534">
        <w:rPr>
          <w:sz w:val="24"/>
          <w:szCs w:val="24"/>
          <w:lang w:val="en-US"/>
        </w:rPr>
        <w:t xml:space="preserve">of investment fund shares/units </w:t>
      </w:r>
      <w:r w:rsidR="00243B76" w:rsidRPr="00243B76">
        <w:rPr>
          <w:sz w:val="24"/>
          <w:szCs w:val="24"/>
          <w:lang w:val="en-US"/>
        </w:rPr>
        <w:t>by individual countries</w:t>
      </w:r>
      <w:r w:rsidR="0010324E">
        <w:rPr>
          <w:sz w:val="24"/>
          <w:szCs w:val="24"/>
          <w:lang w:val="en-US"/>
        </w:rPr>
        <w:t xml:space="preserve"> </w:t>
      </w:r>
      <w:r w:rsidR="00243B76">
        <w:rPr>
          <w:sz w:val="24"/>
          <w:szCs w:val="24"/>
          <w:lang w:val="en-US"/>
        </w:rPr>
        <w:t>(5b)</w:t>
      </w:r>
      <w:r w:rsidR="00243B76">
        <w:rPr>
          <w:lang w:val="en-US"/>
        </w:rPr>
        <w:t xml:space="preserve"> </w:t>
      </w:r>
      <w:r w:rsidR="002B0871" w:rsidRPr="002B0871">
        <w:rPr>
          <w:sz w:val="24"/>
          <w:szCs w:val="24"/>
          <w:lang w:val="en-US"/>
        </w:rPr>
        <w:t>were dropped</w:t>
      </w:r>
      <w:r w:rsidR="002B0871" w:rsidRPr="002B0871">
        <w:rPr>
          <w:b/>
          <w:sz w:val="24"/>
          <w:szCs w:val="24"/>
          <w:lang w:val="en-US"/>
        </w:rPr>
        <w:t>.</w:t>
      </w:r>
      <w:r w:rsidR="00215534">
        <w:rPr>
          <w:sz w:val="24"/>
          <w:szCs w:val="24"/>
          <w:lang w:val="en-US"/>
        </w:rPr>
        <w:t xml:space="preserve"> </w:t>
      </w:r>
      <w:r w:rsidR="00A00825">
        <w:rPr>
          <w:sz w:val="24"/>
          <w:szCs w:val="24"/>
          <w:lang w:val="en-US"/>
        </w:rPr>
        <w:t xml:space="preserve"> </w:t>
      </w:r>
      <w:r w:rsidR="0020129F">
        <w:rPr>
          <w:sz w:val="24"/>
          <w:szCs w:val="24"/>
          <w:lang w:val="en-US"/>
        </w:rPr>
        <w:t xml:space="preserve">The requirements </w:t>
      </w:r>
      <w:r w:rsidR="00A24E93">
        <w:rPr>
          <w:sz w:val="24"/>
          <w:szCs w:val="24"/>
          <w:lang w:val="en-US"/>
        </w:rPr>
        <w:t xml:space="preserve">finally adopted </w:t>
      </w:r>
      <w:r w:rsidR="00CC35F1">
        <w:rPr>
          <w:sz w:val="24"/>
          <w:szCs w:val="24"/>
          <w:lang w:val="en-US"/>
        </w:rPr>
        <w:t xml:space="preserve">are those </w:t>
      </w:r>
      <w:r w:rsidR="00A24E93">
        <w:rPr>
          <w:sz w:val="24"/>
          <w:szCs w:val="24"/>
          <w:lang w:val="en-US"/>
        </w:rPr>
        <w:t>considered as not representing a heavy burden on insurance corporations.</w:t>
      </w:r>
      <w:r w:rsidR="00D70676">
        <w:rPr>
          <w:sz w:val="24"/>
          <w:szCs w:val="24"/>
          <w:lang w:val="en-US"/>
        </w:rPr>
        <w:t xml:space="preserve"> </w:t>
      </w:r>
      <w:r w:rsidR="001B7B00">
        <w:rPr>
          <w:sz w:val="24"/>
          <w:szCs w:val="24"/>
          <w:lang w:val="en-US"/>
        </w:rPr>
        <w:t xml:space="preserve"> </w:t>
      </w:r>
      <w:r w:rsidR="007A6413" w:rsidRPr="00440995">
        <w:rPr>
          <w:sz w:val="24"/>
          <w:szCs w:val="24"/>
          <w:lang w:val="en-US"/>
        </w:rPr>
        <w:t xml:space="preserve"> </w:t>
      </w:r>
    </w:p>
    <w:p w:rsidR="00276EA9" w:rsidRDefault="00F956E9" w:rsidP="00BE7AA0">
      <w:pPr>
        <w:pStyle w:val="Paragraphedeliste"/>
        <w:numPr>
          <w:ilvl w:val="0"/>
          <w:numId w:val="11"/>
        </w:numPr>
        <w:spacing w:before="240" w:line="360" w:lineRule="auto"/>
        <w:ind w:left="567" w:hanging="283"/>
        <w:rPr>
          <w:sz w:val="24"/>
          <w:szCs w:val="24"/>
          <w:lang w:val="en-US"/>
        </w:rPr>
      </w:pPr>
      <w:r w:rsidRPr="00440995">
        <w:rPr>
          <w:sz w:val="24"/>
          <w:szCs w:val="24"/>
          <w:lang w:val="en-US"/>
        </w:rPr>
        <w:t xml:space="preserve">Difficulty of getting a totally harmonized measure of costs </w:t>
      </w:r>
    </w:p>
    <w:p w:rsidR="00AA1B8B" w:rsidRDefault="00CC0764" w:rsidP="00CC0764">
      <w:pPr>
        <w:spacing w:before="240" w:line="360" w:lineRule="auto"/>
        <w:rPr>
          <w:sz w:val="24"/>
          <w:szCs w:val="24"/>
          <w:lang w:val="en-US"/>
        </w:rPr>
      </w:pPr>
      <w:r>
        <w:rPr>
          <w:sz w:val="24"/>
          <w:szCs w:val="24"/>
          <w:lang w:val="en-US"/>
        </w:rPr>
        <w:t xml:space="preserve">The costs expressed by NCBs or reporting agents in the merits and costs procedure are summed </w:t>
      </w:r>
      <w:r w:rsidR="00587565">
        <w:rPr>
          <w:sz w:val="24"/>
          <w:szCs w:val="24"/>
          <w:lang w:val="en-US"/>
        </w:rPr>
        <w:t>up to give an overall measure for</w:t>
      </w:r>
      <w:r>
        <w:rPr>
          <w:sz w:val="24"/>
          <w:szCs w:val="24"/>
          <w:lang w:val="en-US"/>
        </w:rPr>
        <w:t xml:space="preserve"> the entire euro area. </w:t>
      </w:r>
      <w:r w:rsidR="00AE5841">
        <w:rPr>
          <w:sz w:val="24"/>
          <w:szCs w:val="24"/>
          <w:lang w:val="en-US"/>
        </w:rPr>
        <w:t>This method which enables to reach a global result can</w:t>
      </w:r>
      <w:r w:rsidR="00E31E69">
        <w:rPr>
          <w:sz w:val="24"/>
          <w:szCs w:val="24"/>
          <w:lang w:val="en-US"/>
        </w:rPr>
        <w:t xml:space="preserve"> sometimes induce higher costs in countries where the reporting population is not exactly the same as in the euro area aggregated population. These side effects could be taken into account by, for instance, allowing exceptional derogations to these countries in the regulation.</w:t>
      </w:r>
    </w:p>
    <w:p w:rsidR="00151215" w:rsidRDefault="00FD4D05" w:rsidP="00CC0764">
      <w:pPr>
        <w:spacing w:before="240" w:line="360" w:lineRule="auto"/>
        <w:rPr>
          <w:sz w:val="24"/>
          <w:szCs w:val="24"/>
          <w:lang w:val="en-US"/>
        </w:rPr>
      </w:pPr>
      <w:r>
        <w:rPr>
          <w:sz w:val="24"/>
          <w:szCs w:val="24"/>
          <w:lang w:val="en-US"/>
        </w:rPr>
        <w:t>At the country level, the calculation of an average cost can sometimes not entirely reflect the high costs supported by small entities</w:t>
      </w:r>
      <w:r w:rsidR="005B2024">
        <w:rPr>
          <w:sz w:val="24"/>
          <w:szCs w:val="24"/>
          <w:lang w:val="en-US"/>
        </w:rPr>
        <w:t xml:space="preserve">. Indeed, the summing of costs weighted by the size of balance sheet does not take into account </w:t>
      </w:r>
      <w:r w:rsidR="00130A0A">
        <w:rPr>
          <w:sz w:val="24"/>
          <w:szCs w:val="24"/>
          <w:lang w:val="en-US"/>
        </w:rPr>
        <w:t xml:space="preserve">asymmetric </w:t>
      </w:r>
      <w:r w:rsidR="005B2024">
        <w:rPr>
          <w:sz w:val="24"/>
          <w:szCs w:val="24"/>
          <w:lang w:val="en-US"/>
        </w:rPr>
        <w:t>distribution</w:t>
      </w:r>
      <w:r w:rsidR="00130A0A">
        <w:rPr>
          <w:sz w:val="24"/>
          <w:szCs w:val="24"/>
          <w:lang w:val="en-US"/>
        </w:rPr>
        <w:t xml:space="preserve"> of population</w:t>
      </w:r>
      <w:r w:rsidR="005B2024">
        <w:rPr>
          <w:sz w:val="24"/>
          <w:szCs w:val="24"/>
          <w:lang w:val="en-US"/>
        </w:rPr>
        <w:t xml:space="preserve">. </w:t>
      </w:r>
    </w:p>
    <w:p w:rsidR="00CC0ED0" w:rsidRDefault="00CC0ED0" w:rsidP="00CC0764">
      <w:pPr>
        <w:spacing w:before="240" w:line="360" w:lineRule="auto"/>
        <w:rPr>
          <w:sz w:val="24"/>
          <w:szCs w:val="24"/>
          <w:lang w:val="en-US"/>
        </w:rPr>
      </w:pPr>
    </w:p>
    <w:p w:rsidR="00815A9F" w:rsidRDefault="00CC0ED0" w:rsidP="00CC0764">
      <w:pPr>
        <w:spacing w:before="240" w:line="360" w:lineRule="auto"/>
        <w:rPr>
          <w:sz w:val="24"/>
          <w:szCs w:val="24"/>
          <w:lang w:val="en-US"/>
        </w:rPr>
      </w:pPr>
      <w:r>
        <w:rPr>
          <w:sz w:val="24"/>
          <w:szCs w:val="24"/>
          <w:lang w:val="en-US"/>
        </w:rPr>
        <w:t xml:space="preserve">To conclude, it appears that the Merits and Costs Procedure is a crucial step during the conception phase of a new data collection process. In particular, it is an efficient way to guarantee </w:t>
      </w:r>
      <w:r w:rsidR="00204829">
        <w:rPr>
          <w:sz w:val="24"/>
          <w:szCs w:val="24"/>
          <w:lang w:val="en-US"/>
        </w:rPr>
        <w:t xml:space="preserve">that </w:t>
      </w:r>
      <w:r>
        <w:rPr>
          <w:sz w:val="24"/>
          <w:szCs w:val="24"/>
          <w:lang w:val="en-US"/>
        </w:rPr>
        <w:t>the project is feasible at an acceptable cos</w:t>
      </w:r>
      <w:r w:rsidR="00204829">
        <w:rPr>
          <w:sz w:val="24"/>
          <w:szCs w:val="24"/>
          <w:lang w:val="en-US"/>
        </w:rPr>
        <w:t>t</w:t>
      </w:r>
      <w:r>
        <w:rPr>
          <w:sz w:val="24"/>
          <w:szCs w:val="24"/>
          <w:lang w:val="en-US"/>
        </w:rPr>
        <w:t>. As such, it is one</w:t>
      </w:r>
      <w:r w:rsidR="00815A9F">
        <w:rPr>
          <w:sz w:val="24"/>
          <w:szCs w:val="24"/>
          <w:lang w:val="en-US"/>
        </w:rPr>
        <w:t xml:space="preserve"> of the most powerful </w:t>
      </w:r>
      <w:r w:rsidR="00204829">
        <w:rPr>
          <w:sz w:val="24"/>
          <w:szCs w:val="24"/>
          <w:lang w:val="en-US"/>
        </w:rPr>
        <w:t>tools</w:t>
      </w:r>
      <w:r w:rsidR="00815A9F">
        <w:rPr>
          <w:sz w:val="24"/>
          <w:szCs w:val="24"/>
          <w:lang w:val="en-US"/>
        </w:rPr>
        <w:t xml:space="preserve"> available inside the ESCB to respect </w:t>
      </w:r>
      <w:r w:rsidR="00204829">
        <w:rPr>
          <w:sz w:val="24"/>
          <w:szCs w:val="24"/>
          <w:lang w:val="en-US"/>
        </w:rPr>
        <w:t>most</w:t>
      </w:r>
      <w:r w:rsidR="00815A9F">
        <w:rPr>
          <w:sz w:val="24"/>
          <w:szCs w:val="24"/>
          <w:lang w:val="en-US"/>
        </w:rPr>
        <w:t xml:space="preserve"> of the principles stated in the Pub</w:t>
      </w:r>
      <w:r w:rsidR="007E75C5">
        <w:rPr>
          <w:sz w:val="24"/>
          <w:szCs w:val="24"/>
          <w:lang w:val="en-US"/>
        </w:rPr>
        <w:t>l</w:t>
      </w:r>
      <w:r w:rsidR="00815A9F">
        <w:rPr>
          <w:sz w:val="24"/>
          <w:szCs w:val="24"/>
          <w:lang w:val="en-US"/>
        </w:rPr>
        <w:t>ic Commitment on European Statistics</w:t>
      </w:r>
      <w:r w:rsidR="007E75C5">
        <w:rPr>
          <w:sz w:val="24"/>
          <w:szCs w:val="24"/>
          <w:lang w:val="en-US"/>
        </w:rPr>
        <w:t>, especially :</w:t>
      </w:r>
    </w:p>
    <w:p w:rsidR="00CC0ED0" w:rsidRPr="007E75C5" w:rsidRDefault="00815A9F" w:rsidP="007E75C5">
      <w:pPr>
        <w:pStyle w:val="Paragraphedeliste"/>
        <w:numPr>
          <w:ilvl w:val="0"/>
          <w:numId w:val="36"/>
        </w:numPr>
        <w:spacing w:before="240" w:line="360" w:lineRule="auto"/>
        <w:rPr>
          <w:sz w:val="24"/>
          <w:szCs w:val="24"/>
          <w:lang w:val="en-US"/>
        </w:rPr>
      </w:pPr>
      <w:r w:rsidRPr="007E75C5">
        <w:rPr>
          <w:sz w:val="24"/>
          <w:szCs w:val="24"/>
          <w:lang w:val="en-US"/>
        </w:rPr>
        <w:t>Principle 9: minimization of the reporting burden</w:t>
      </w:r>
    </w:p>
    <w:p w:rsidR="00815A9F" w:rsidRPr="007E75C5" w:rsidRDefault="00815A9F" w:rsidP="007E75C5">
      <w:pPr>
        <w:pStyle w:val="Paragraphedeliste"/>
        <w:numPr>
          <w:ilvl w:val="0"/>
          <w:numId w:val="36"/>
        </w:numPr>
        <w:spacing w:before="240" w:line="360" w:lineRule="auto"/>
        <w:rPr>
          <w:sz w:val="24"/>
          <w:szCs w:val="24"/>
          <w:lang w:val="en-US"/>
        </w:rPr>
      </w:pPr>
      <w:r w:rsidRPr="007E75C5">
        <w:rPr>
          <w:sz w:val="24"/>
          <w:szCs w:val="24"/>
          <w:lang w:val="en-US"/>
        </w:rPr>
        <w:t>Principle 10: Cost effectiveness</w:t>
      </w:r>
    </w:p>
    <w:p w:rsidR="00815A9F" w:rsidRPr="007E75C5" w:rsidRDefault="00815A9F" w:rsidP="007E75C5">
      <w:pPr>
        <w:pStyle w:val="Paragraphedeliste"/>
        <w:numPr>
          <w:ilvl w:val="0"/>
          <w:numId w:val="36"/>
        </w:numPr>
        <w:spacing w:before="240" w:line="360" w:lineRule="auto"/>
        <w:rPr>
          <w:sz w:val="24"/>
          <w:szCs w:val="24"/>
          <w:lang w:val="en-US"/>
        </w:rPr>
      </w:pPr>
      <w:r w:rsidRPr="007E75C5">
        <w:rPr>
          <w:sz w:val="24"/>
          <w:szCs w:val="24"/>
          <w:lang w:val="en-US"/>
        </w:rPr>
        <w:t>Principle 11: Relevance</w:t>
      </w:r>
    </w:p>
    <w:p w:rsidR="00815A9F" w:rsidRPr="007E75C5" w:rsidRDefault="00815A9F" w:rsidP="007E75C5">
      <w:pPr>
        <w:pStyle w:val="Paragraphedeliste"/>
        <w:numPr>
          <w:ilvl w:val="0"/>
          <w:numId w:val="36"/>
        </w:numPr>
        <w:spacing w:before="240" w:line="360" w:lineRule="auto"/>
        <w:rPr>
          <w:sz w:val="24"/>
          <w:szCs w:val="24"/>
          <w:lang w:val="en-US"/>
        </w:rPr>
      </w:pPr>
      <w:r w:rsidRPr="007E75C5">
        <w:rPr>
          <w:sz w:val="24"/>
          <w:szCs w:val="24"/>
          <w:lang w:val="en-US"/>
        </w:rPr>
        <w:t>Principle 12: Accuracy and reliability</w:t>
      </w:r>
    </w:p>
    <w:p w:rsidR="00815A9F" w:rsidRPr="007E75C5" w:rsidRDefault="00815A9F" w:rsidP="007E75C5">
      <w:pPr>
        <w:pStyle w:val="Paragraphedeliste"/>
        <w:numPr>
          <w:ilvl w:val="0"/>
          <w:numId w:val="36"/>
        </w:numPr>
        <w:spacing w:before="240" w:line="360" w:lineRule="auto"/>
        <w:rPr>
          <w:sz w:val="24"/>
          <w:szCs w:val="24"/>
          <w:lang w:val="en-US"/>
        </w:rPr>
      </w:pPr>
      <w:r w:rsidRPr="007E75C5">
        <w:rPr>
          <w:sz w:val="24"/>
          <w:szCs w:val="24"/>
          <w:lang w:val="en-US"/>
        </w:rPr>
        <w:lastRenderedPageBreak/>
        <w:t>Principle 14: Consistency and comparability</w:t>
      </w:r>
    </w:p>
    <w:p w:rsidR="0028071C" w:rsidRDefault="0028071C" w:rsidP="00E056DD">
      <w:pPr>
        <w:spacing w:before="240" w:line="360" w:lineRule="auto"/>
        <w:rPr>
          <w:b/>
          <w:color w:val="1F497D" w:themeColor="text2"/>
          <w:sz w:val="24"/>
          <w:szCs w:val="24"/>
          <w:u w:val="single"/>
          <w:lang w:val="en-US"/>
        </w:rPr>
      </w:pPr>
    </w:p>
    <w:p w:rsidR="0028071C" w:rsidRDefault="0028071C" w:rsidP="00E056DD">
      <w:pPr>
        <w:spacing w:before="240" w:line="360" w:lineRule="auto"/>
        <w:rPr>
          <w:b/>
          <w:color w:val="1F497D" w:themeColor="text2"/>
          <w:sz w:val="24"/>
          <w:szCs w:val="24"/>
          <w:u w:val="single"/>
          <w:lang w:val="en-US"/>
        </w:rPr>
      </w:pPr>
    </w:p>
    <w:p w:rsidR="0028071C" w:rsidRDefault="0028071C" w:rsidP="00E056DD">
      <w:pPr>
        <w:spacing w:before="240" w:line="360" w:lineRule="auto"/>
        <w:rPr>
          <w:b/>
          <w:color w:val="1F497D" w:themeColor="text2"/>
          <w:sz w:val="24"/>
          <w:szCs w:val="24"/>
          <w:u w:val="single"/>
          <w:lang w:val="en-US"/>
        </w:rPr>
      </w:pPr>
    </w:p>
    <w:p w:rsidR="0028071C" w:rsidRDefault="0028071C" w:rsidP="00E056DD">
      <w:pPr>
        <w:spacing w:before="240" w:line="360" w:lineRule="auto"/>
        <w:rPr>
          <w:b/>
          <w:color w:val="1F497D" w:themeColor="text2"/>
          <w:sz w:val="24"/>
          <w:szCs w:val="24"/>
          <w:u w:val="single"/>
          <w:lang w:val="en-US"/>
        </w:rPr>
      </w:pPr>
    </w:p>
    <w:p w:rsidR="0028071C" w:rsidRDefault="0028071C" w:rsidP="00E056DD">
      <w:pPr>
        <w:spacing w:before="240" w:line="360" w:lineRule="auto"/>
        <w:rPr>
          <w:b/>
          <w:color w:val="1F497D" w:themeColor="text2"/>
          <w:sz w:val="24"/>
          <w:szCs w:val="24"/>
          <w:u w:val="single"/>
          <w:lang w:val="en-US"/>
        </w:rPr>
      </w:pPr>
    </w:p>
    <w:p w:rsidR="0028071C" w:rsidRDefault="0028071C" w:rsidP="00E056DD">
      <w:pPr>
        <w:spacing w:before="240" w:line="360" w:lineRule="auto"/>
        <w:rPr>
          <w:b/>
          <w:color w:val="1F497D" w:themeColor="text2"/>
          <w:sz w:val="24"/>
          <w:szCs w:val="24"/>
          <w:u w:val="single"/>
          <w:lang w:val="en-US"/>
        </w:rPr>
      </w:pPr>
    </w:p>
    <w:p w:rsidR="0028071C" w:rsidRDefault="0028071C" w:rsidP="00E056DD">
      <w:pPr>
        <w:spacing w:before="240" w:line="360" w:lineRule="auto"/>
        <w:rPr>
          <w:b/>
          <w:color w:val="1F497D" w:themeColor="text2"/>
          <w:sz w:val="24"/>
          <w:szCs w:val="24"/>
          <w:u w:val="single"/>
          <w:lang w:val="en-US"/>
        </w:rPr>
      </w:pPr>
    </w:p>
    <w:p w:rsidR="0028071C" w:rsidRDefault="0028071C" w:rsidP="00E056DD">
      <w:pPr>
        <w:spacing w:before="240" w:line="360" w:lineRule="auto"/>
        <w:rPr>
          <w:b/>
          <w:color w:val="1F497D" w:themeColor="text2"/>
          <w:sz w:val="24"/>
          <w:szCs w:val="24"/>
          <w:u w:val="single"/>
          <w:lang w:val="en-US"/>
        </w:rPr>
      </w:pPr>
    </w:p>
    <w:p w:rsidR="00C04A8B" w:rsidRPr="000C2C92" w:rsidRDefault="00A269E0" w:rsidP="00E056DD">
      <w:pPr>
        <w:spacing w:before="240" w:line="360" w:lineRule="auto"/>
        <w:rPr>
          <w:b/>
          <w:color w:val="1F497D" w:themeColor="text2"/>
          <w:sz w:val="24"/>
          <w:szCs w:val="24"/>
          <w:lang w:val="en-US"/>
        </w:rPr>
      </w:pPr>
      <w:r>
        <w:rPr>
          <w:b/>
          <w:color w:val="1F497D" w:themeColor="text2"/>
          <w:sz w:val="24"/>
          <w:szCs w:val="24"/>
          <w:lang w:val="en-US"/>
        </w:rPr>
        <w:t>Annex</w:t>
      </w:r>
    </w:p>
    <w:p w:rsidR="00C04A8B" w:rsidRPr="00C04A8B" w:rsidRDefault="00C04A8B" w:rsidP="00E056DD">
      <w:pPr>
        <w:spacing w:before="240" w:line="360" w:lineRule="auto"/>
        <w:rPr>
          <w:b/>
          <w:color w:val="000000" w:themeColor="text1"/>
          <w:sz w:val="24"/>
          <w:szCs w:val="24"/>
          <w:lang w:val="en-US"/>
        </w:rPr>
      </w:pPr>
      <w:r w:rsidRPr="00C04A8B">
        <w:rPr>
          <w:b/>
          <w:color w:val="000000" w:themeColor="text1"/>
          <w:sz w:val="24"/>
          <w:szCs w:val="24"/>
          <w:lang w:val="en-US"/>
        </w:rPr>
        <w:t>New requirements asked by the ECB</w:t>
      </w:r>
    </w:p>
    <w:tbl>
      <w:tblPr>
        <w:tblStyle w:val="Grilledutableau"/>
        <w:tblW w:w="0" w:type="auto"/>
        <w:tblLook w:val="04A0"/>
      </w:tblPr>
      <w:tblGrid>
        <w:gridCol w:w="1179"/>
        <w:gridCol w:w="7818"/>
      </w:tblGrid>
      <w:tr w:rsidR="00C04A8B" w:rsidRPr="004437FF" w:rsidTr="00C04A8B">
        <w:trPr>
          <w:trHeight w:hRule="exact" w:val="332"/>
        </w:trPr>
        <w:tc>
          <w:tcPr>
            <w:tcW w:w="8997" w:type="dxa"/>
            <w:gridSpan w:val="2"/>
            <w:hideMark/>
          </w:tcPr>
          <w:p w:rsidR="00C04A8B" w:rsidRPr="004437FF" w:rsidRDefault="00C04A8B" w:rsidP="00C04A8B">
            <w:pPr>
              <w:rPr>
                <w:b/>
                <w:bCs/>
              </w:rPr>
            </w:pPr>
            <w:r w:rsidRPr="004437FF">
              <w:rPr>
                <w:b/>
                <w:bCs/>
                <w:lang w:val="en-GB"/>
              </w:rPr>
              <w:t>ASSETS</w:t>
            </w:r>
          </w:p>
        </w:tc>
      </w:tr>
      <w:tr w:rsidR="00C04A8B" w:rsidRPr="00356620" w:rsidTr="00C04A8B">
        <w:trPr>
          <w:trHeight w:val="435"/>
        </w:trPr>
        <w:tc>
          <w:tcPr>
            <w:tcW w:w="1179" w:type="dxa"/>
            <w:vMerge w:val="restart"/>
            <w:hideMark/>
          </w:tcPr>
          <w:p w:rsidR="00C04A8B" w:rsidRPr="004437FF" w:rsidRDefault="00C04A8B" w:rsidP="00C04A8B">
            <w:pPr>
              <w:rPr>
                <w:b/>
                <w:bCs/>
              </w:rPr>
            </w:pPr>
            <w:r w:rsidRPr="004437FF">
              <w:rPr>
                <w:b/>
                <w:bCs/>
                <w:lang w:val="en-GB"/>
              </w:rPr>
              <w:t>1</w:t>
            </w:r>
          </w:p>
        </w:tc>
        <w:tc>
          <w:tcPr>
            <w:tcW w:w="7818" w:type="dxa"/>
            <w:hideMark/>
          </w:tcPr>
          <w:p w:rsidR="00C04A8B" w:rsidRPr="004437FF" w:rsidRDefault="00C04A8B" w:rsidP="00C04A8B">
            <w:pPr>
              <w:rPr>
                <w:b/>
                <w:bCs/>
                <w:lang w:val="en-US"/>
              </w:rPr>
            </w:pPr>
            <w:r w:rsidRPr="004437FF">
              <w:rPr>
                <w:b/>
                <w:bCs/>
                <w:lang w:val="en-GB"/>
              </w:rPr>
              <w:t>Holdings of currency and deposits</w:t>
            </w:r>
          </w:p>
        </w:tc>
      </w:tr>
      <w:tr w:rsidR="00C04A8B" w:rsidRPr="00356620" w:rsidTr="00C04A8B">
        <w:trPr>
          <w:trHeight w:val="389"/>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(a)    by individual countries (EU, RoW)</w:t>
            </w:r>
          </w:p>
        </w:tc>
      </w:tr>
      <w:tr w:rsidR="00C04A8B" w:rsidRPr="00356620" w:rsidTr="00C04A8B">
        <w:trPr>
          <w:trHeight w:val="367"/>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(b)   by original maturity and counterpart area</w:t>
            </w:r>
          </w:p>
        </w:tc>
      </w:tr>
      <w:tr w:rsidR="00C04A8B" w:rsidRPr="004437FF" w:rsidTr="00C04A8B">
        <w:trPr>
          <w:trHeight w:val="400"/>
        </w:trPr>
        <w:tc>
          <w:tcPr>
            <w:tcW w:w="1179" w:type="dxa"/>
            <w:vMerge w:val="restart"/>
            <w:hideMark/>
          </w:tcPr>
          <w:p w:rsidR="00C04A8B" w:rsidRPr="004437FF" w:rsidRDefault="00C04A8B" w:rsidP="00C04A8B">
            <w:pPr>
              <w:rPr>
                <w:b/>
                <w:bCs/>
              </w:rPr>
            </w:pPr>
            <w:r w:rsidRPr="004437FF">
              <w:rPr>
                <w:b/>
                <w:bCs/>
                <w:lang w:val="en-GB"/>
              </w:rPr>
              <w:t>2</w:t>
            </w:r>
          </w:p>
        </w:tc>
        <w:tc>
          <w:tcPr>
            <w:tcW w:w="7818" w:type="dxa"/>
            <w:hideMark/>
          </w:tcPr>
          <w:p w:rsidR="00C04A8B" w:rsidRPr="004437FF" w:rsidRDefault="00C04A8B" w:rsidP="00C04A8B">
            <w:pPr>
              <w:rPr>
                <w:b/>
                <w:bCs/>
              </w:rPr>
            </w:pPr>
            <w:r w:rsidRPr="004437FF">
              <w:rPr>
                <w:b/>
                <w:bCs/>
                <w:lang w:val="en-GB"/>
              </w:rPr>
              <w:t>Holdings of debt securities</w:t>
            </w:r>
          </w:p>
        </w:tc>
      </w:tr>
      <w:tr w:rsidR="00C04A8B" w:rsidRPr="00356620" w:rsidTr="00C04A8B">
        <w:trPr>
          <w:trHeight w:val="367"/>
        </w:trPr>
        <w:tc>
          <w:tcPr>
            <w:tcW w:w="1179" w:type="dxa"/>
            <w:vMerge/>
            <w:hideMark/>
          </w:tcPr>
          <w:p w:rsidR="00C04A8B" w:rsidRPr="004437FF" w:rsidRDefault="00C04A8B" w:rsidP="00C04A8B">
            <w:pPr>
              <w:rPr>
                <w:b/>
                <w:bCs/>
              </w:rPr>
            </w:pPr>
          </w:p>
        </w:tc>
        <w:tc>
          <w:tcPr>
            <w:tcW w:w="7818" w:type="dxa"/>
            <w:hideMark/>
          </w:tcPr>
          <w:p w:rsidR="00C04A8B" w:rsidRPr="004437FF" w:rsidRDefault="00C04A8B" w:rsidP="00C04A8B">
            <w:pPr>
              <w:rPr>
                <w:lang w:val="en-US"/>
              </w:rPr>
            </w:pPr>
            <w:r w:rsidRPr="004437FF">
              <w:rPr>
                <w:lang w:val="en-GB"/>
              </w:rPr>
              <w:t>(a)    by individual countries (EU, RoW)</w:t>
            </w:r>
          </w:p>
        </w:tc>
      </w:tr>
      <w:tr w:rsidR="00C04A8B" w:rsidRPr="00356620" w:rsidTr="00C04A8B">
        <w:trPr>
          <w:trHeight w:val="376"/>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(b)   by original maturity, counterpart area, sectors for euro area counterparts</w:t>
            </w:r>
          </w:p>
        </w:tc>
      </w:tr>
      <w:tr w:rsidR="00C04A8B" w:rsidRPr="00356620" w:rsidTr="00C04A8B">
        <w:trPr>
          <w:trHeight w:val="343"/>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(c)    by individual EU countries and sectors</w:t>
            </w:r>
          </w:p>
        </w:tc>
      </w:tr>
      <w:tr w:rsidR="00C04A8B" w:rsidRPr="004437FF" w:rsidTr="00C04A8B">
        <w:trPr>
          <w:trHeight w:val="354"/>
        </w:trPr>
        <w:tc>
          <w:tcPr>
            <w:tcW w:w="1179" w:type="dxa"/>
            <w:vMerge w:val="restart"/>
            <w:hideMark/>
          </w:tcPr>
          <w:p w:rsidR="00C04A8B" w:rsidRPr="004437FF" w:rsidRDefault="00C04A8B" w:rsidP="00C04A8B">
            <w:pPr>
              <w:rPr>
                <w:b/>
                <w:bCs/>
              </w:rPr>
            </w:pPr>
            <w:r w:rsidRPr="004437FF">
              <w:rPr>
                <w:b/>
                <w:bCs/>
                <w:lang w:val="en-GB"/>
              </w:rPr>
              <w:t>3</w:t>
            </w:r>
          </w:p>
        </w:tc>
        <w:tc>
          <w:tcPr>
            <w:tcW w:w="7818" w:type="dxa"/>
            <w:hideMark/>
          </w:tcPr>
          <w:p w:rsidR="00C04A8B" w:rsidRPr="004437FF" w:rsidRDefault="00C04A8B" w:rsidP="00C04A8B">
            <w:pPr>
              <w:rPr>
                <w:b/>
                <w:bCs/>
              </w:rPr>
            </w:pPr>
            <w:r w:rsidRPr="004437FF">
              <w:rPr>
                <w:b/>
                <w:bCs/>
                <w:lang w:val="en-GB"/>
              </w:rPr>
              <w:t>Loans</w:t>
            </w:r>
          </w:p>
        </w:tc>
      </w:tr>
      <w:tr w:rsidR="00C04A8B" w:rsidRPr="00356620" w:rsidTr="00C04A8B">
        <w:trPr>
          <w:trHeight w:val="321"/>
        </w:trPr>
        <w:tc>
          <w:tcPr>
            <w:tcW w:w="1179" w:type="dxa"/>
            <w:vMerge/>
            <w:hideMark/>
          </w:tcPr>
          <w:p w:rsidR="00C04A8B" w:rsidRPr="004437FF" w:rsidRDefault="00C04A8B" w:rsidP="00C04A8B">
            <w:pPr>
              <w:rPr>
                <w:b/>
                <w:bCs/>
              </w:rPr>
            </w:pPr>
          </w:p>
        </w:tc>
        <w:tc>
          <w:tcPr>
            <w:tcW w:w="7818" w:type="dxa"/>
            <w:hideMark/>
          </w:tcPr>
          <w:p w:rsidR="00C04A8B" w:rsidRPr="004437FF" w:rsidRDefault="00C04A8B" w:rsidP="00C04A8B">
            <w:pPr>
              <w:rPr>
                <w:lang w:val="en-US"/>
              </w:rPr>
            </w:pPr>
            <w:r w:rsidRPr="004437FF">
              <w:rPr>
                <w:lang w:val="en-GB"/>
              </w:rPr>
              <w:t>(a)    by individual countries (also for deposit guarantees in connection of reinsurance)</w:t>
            </w:r>
          </w:p>
        </w:tc>
      </w:tr>
      <w:tr w:rsidR="00C04A8B" w:rsidRPr="00356620" w:rsidTr="00C04A8B">
        <w:trPr>
          <w:trHeight w:val="309"/>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(b)   by original maturity and counterpart area</w:t>
            </w:r>
          </w:p>
        </w:tc>
      </w:tr>
      <w:tr w:rsidR="00C04A8B" w:rsidRPr="00356620" w:rsidTr="00C04A8B">
        <w:trPr>
          <w:trHeight w:val="286"/>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(c)    by counterpart area and sectors for euro area counterparts</w:t>
            </w:r>
          </w:p>
        </w:tc>
      </w:tr>
      <w:tr w:rsidR="00C04A8B" w:rsidRPr="00356620" w:rsidTr="00C04A8B">
        <w:trPr>
          <w:trHeight w:val="332"/>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(d)   by original maturity, counterpart area, sectors for euro area counterparts</w:t>
            </w:r>
          </w:p>
        </w:tc>
      </w:tr>
      <w:tr w:rsidR="00C04A8B" w:rsidRPr="00356620" w:rsidTr="00C04A8B">
        <w:trPr>
          <w:trHeight w:val="297"/>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(e)    loans at nominal value</w:t>
            </w:r>
          </w:p>
        </w:tc>
      </w:tr>
      <w:tr w:rsidR="00C04A8B" w:rsidRPr="004437FF" w:rsidTr="00C04A8B">
        <w:trPr>
          <w:trHeight w:val="332"/>
        </w:trPr>
        <w:tc>
          <w:tcPr>
            <w:tcW w:w="1179" w:type="dxa"/>
            <w:vMerge w:val="restart"/>
            <w:hideMark/>
          </w:tcPr>
          <w:p w:rsidR="00C04A8B" w:rsidRPr="004437FF" w:rsidRDefault="00C04A8B" w:rsidP="00C04A8B">
            <w:pPr>
              <w:rPr>
                <w:b/>
                <w:bCs/>
              </w:rPr>
            </w:pPr>
            <w:r w:rsidRPr="004437FF">
              <w:rPr>
                <w:b/>
                <w:bCs/>
                <w:lang w:val="en-GB"/>
              </w:rPr>
              <w:t>4</w:t>
            </w:r>
          </w:p>
        </w:tc>
        <w:tc>
          <w:tcPr>
            <w:tcW w:w="7818" w:type="dxa"/>
            <w:hideMark/>
          </w:tcPr>
          <w:p w:rsidR="00C04A8B" w:rsidRPr="004437FF" w:rsidRDefault="00C04A8B" w:rsidP="00C04A8B">
            <w:pPr>
              <w:rPr>
                <w:b/>
                <w:bCs/>
              </w:rPr>
            </w:pPr>
            <w:r w:rsidRPr="004437FF">
              <w:rPr>
                <w:b/>
                <w:bCs/>
                <w:lang w:val="en-GB"/>
              </w:rPr>
              <w:t>Holdings of equity</w:t>
            </w:r>
          </w:p>
        </w:tc>
      </w:tr>
      <w:tr w:rsidR="00C04A8B" w:rsidRPr="00356620" w:rsidTr="00C04A8B">
        <w:trPr>
          <w:trHeight w:val="367"/>
        </w:trPr>
        <w:tc>
          <w:tcPr>
            <w:tcW w:w="1179" w:type="dxa"/>
            <w:vMerge/>
            <w:hideMark/>
          </w:tcPr>
          <w:p w:rsidR="00C04A8B" w:rsidRPr="004437FF" w:rsidRDefault="00C04A8B" w:rsidP="00C04A8B">
            <w:pPr>
              <w:rPr>
                <w:b/>
                <w:bCs/>
              </w:rPr>
            </w:pPr>
          </w:p>
        </w:tc>
        <w:tc>
          <w:tcPr>
            <w:tcW w:w="7818" w:type="dxa"/>
            <w:hideMark/>
          </w:tcPr>
          <w:p w:rsidR="00C04A8B" w:rsidRPr="004437FF" w:rsidRDefault="00C04A8B" w:rsidP="00C04A8B">
            <w:pPr>
              <w:rPr>
                <w:lang w:val="en-US"/>
              </w:rPr>
            </w:pPr>
            <w:r w:rsidRPr="004437FF">
              <w:rPr>
                <w:lang w:val="en-GB"/>
              </w:rPr>
              <w:t>(a)    by individual countries (EU, RoW)</w:t>
            </w:r>
          </w:p>
        </w:tc>
      </w:tr>
      <w:tr w:rsidR="00C04A8B" w:rsidRPr="00356620" w:rsidTr="00C04A8B">
        <w:trPr>
          <w:trHeight w:val="367"/>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(b)   by counterpart area and sectors for euro area counterparts</w:t>
            </w:r>
          </w:p>
        </w:tc>
      </w:tr>
      <w:tr w:rsidR="00C04A8B" w:rsidRPr="00356620" w:rsidTr="00C04A8B">
        <w:trPr>
          <w:trHeight w:val="343"/>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(c)    by individual EU countries and sectors</w:t>
            </w:r>
          </w:p>
        </w:tc>
      </w:tr>
      <w:tr w:rsidR="00C04A8B" w:rsidRPr="00356620" w:rsidTr="00C04A8B">
        <w:trPr>
          <w:trHeight w:val="376"/>
        </w:trPr>
        <w:tc>
          <w:tcPr>
            <w:tcW w:w="1179" w:type="dxa"/>
            <w:vMerge w:val="restart"/>
            <w:hideMark/>
          </w:tcPr>
          <w:p w:rsidR="00C04A8B" w:rsidRPr="004437FF" w:rsidRDefault="00C04A8B" w:rsidP="00C04A8B">
            <w:pPr>
              <w:rPr>
                <w:b/>
                <w:bCs/>
              </w:rPr>
            </w:pPr>
            <w:r w:rsidRPr="004437FF">
              <w:rPr>
                <w:b/>
                <w:bCs/>
                <w:lang w:val="en-GB"/>
              </w:rPr>
              <w:t>4.1</w:t>
            </w:r>
          </w:p>
        </w:tc>
        <w:tc>
          <w:tcPr>
            <w:tcW w:w="7818" w:type="dxa"/>
            <w:hideMark/>
          </w:tcPr>
          <w:p w:rsidR="00C04A8B" w:rsidRPr="004437FF" w:rsidRDefault="00C04A8B" w:rsidP="00C04A8B">
            <w:pPr>
              <w:rPr>
                <w:b/>
                <w:bCs/>
                <w:lang w:val="en-US"/>
              </w:rPr>
            </w:pPr>
            <w:r w:rsidRPr="004437FF">
              <w:rPr>
                <w:b/>
                <w:bCs/>
                <w:lang w:val="en-GB"/>
              </w:rPr>
              <w:t>Holdings of equity, o/w listed shares</w:t>
            </w:r>
          </w:p>
        </w:tc>
      </w:tr>
      <w:tr w:rsidR="00C04A8B" w:rsidRPr="00356620" w:rsidTr="00C04A8B">
        <w:trPr>
          <w:trHeight w:val="343"/>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(a)    total holdings of listed shares</w:t>
            </w:r>
          </w:p>
        </w:tc>
      </w:tr>
      <w:tr w:rsidR="00C04A8B" w:rsidRPr="004437FF" w:rsidTr="00C04A8B">
        <w:trPr>
          <w:trHeight w:val="343"/>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r w:rsidRPr="004437FF">
              <w:rPr>
                <w:lang w:val="en-GB"/>
              </w:rPr>
              <w:t>(b)   by counterpart area</w:t>
            </w:r>
          </w:p>
        </w:tc>
      </w:tr>
      <w:tr w:rsidR="00C04A8B" w:rsidRPr="00356620" w:rsidTr="00C04A8B">
        <w:trPr>
          <w:trHeight w:val="343"/>
        </w:trPr>
        <w:tc>
          <w:tcPr>
            <w:tcW w:w="1179" w:type="dxa"/>
            <w:vMerge/>
            <w:hideMark/>
          </w:tcPr>
          <w:p w:rsidR="00C04A8B" w:rsidRPr="004437FF" w:rsidRDefault="00C04A8B" w:rsidP="00C04A8B">
            <w:pPr>
              <w:rPr>
                <w:b/>
                <w:bCs/>
              </w:rPr>
            </w:pPr>
          </w:p>
        </w:tc>
        <w:tc>
          <w:tcPr>
            <w:tcW w:w="7818" w:type="dxa"/>
            <w:hideMark/>
          </w:tcPr>
          <w:p w:rsidR="00C04A8B" w:rsidRPr="004437FF" w:rsidRDefault="00C04A8B" w:rsidP="00C04A8B">
            <w:pPr>
              <w:rPr>
                <w:lang w:val="en-US"/>
              </w:rPr>
            </w:pPr>
            <w:r w:rsidRPr="004437FF">
              <w:rPr>
                <w:lang w:val="en-GB"/>
              </w:rPr>
              <w:t>(c)    by counterpart area and sectors for euro area counterparts</w:t>
            </w:r>
          </w:p>
        </w:tc>
      </w:tr>
      <w:tr w:rsidR="00C04A8B" w:rsidRPr="00356620" w:rsidTr="00C04A8B">
        <w:trPr>
          <w:trHeight w:val="367"/>
        </w:trPr>
        <w:tc>
          <w:tcPr>
            <w:tcW w:w="1179" w:type="dxa"/>
            <w:vMerge w:val="restart"/>
            <w:hideMark/>
          </w:tcPr>
          <w:p w:rsidR="00C04A8B" w:rsidRPr="004437FF" w:rsidRDefault="00C04A8B" w:rsidP="00C04A8B">
            <w:pPr>
              <w:rPr>
                <w:b/>
                <w:bCs/>
              </w:rPr>
            </w:pPr>
            <w:r w:rsidRPr="004437FF">
              <w:rPr>
                <w:b/>
                <w:bCs/>
                <w:lang w:val="en-GB"/>
              </w:rPr>
              <w:t>4.2</w:t>
            </w:r>
          </w:p>
        </w:tc>
        <w:tc>
          <w:tcPr>
            <w:tcW w:w="7818" w:type="dxa"/>
            <w:hideMark/>
          </w:tcPr>
          <w:p w:rsidR="00C04A8B" w:rsidRPr="004437FF" w:rsidRDefault="00C04A8B" w:rsidP="00C04A8B">
            <w:pPr>
              <w:rPr>
                <w:b/>
                <w:bCs/>
                <w:lang w:val="en-US"/>
              </w:rPr>
            </w:pPr>
            <w:r w:rsidRPr="004437FF">
              <w:rPr>
                <w:b/>
                <w:bCs/>
                <w:lang w:val="en-GB"/>
              </w:rPr>
              <w:t>Holdings of equity, o/w unlisted shares and o/w other equity</w:t>
            </w:r>
          </w:p>
        </w:tc>
      </w:tr>
      <w:tr w:rsidR="00C04A8B" w:rsidRPr="00356620" w:rsidTr="00C04A8B">
        <w:trPr>
          <w:trHeight w:val="376"/>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(a)    total holdings of unlisted shares and total holdings of other equity</w:t>
            </w:r>
          </w:p>
        </w:tc>
      </w:tr>
      <w:tr w:rsidR="00C04A8B" w:rsidRPr="004437FF" w:rsidTr="00C04A8B">
        <w:trPr>
          <w:trHeight w:val="343"/>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r w:rsidRPr="004437FF">
              <w:rPr>
                <w:lang w:val="en-GB"/>
              </w:rPr>
              <w:t>(b)   by counterpart area</w:t>
            </w:r>
          </w:p>
        </w:tc>
      </w:tr>
      <w:tr w:rsidR="00C04A8B" w:rsidRPr="00356620" w:rsidTr="00C04A8B">
        <w:trPr>
          <w:trHeight w:val="412"/>
        </w:trPr>
        <w:tc>
          <w:tcPr>
            <w:tcW w:w="1179" w:type="dxa"/>
            <w:vMerge/>
            <w:hideMark/>
          </w:tcPr>
          <w:p w:rsidR="00C04A8B" w:rsidRPr="004437FF" w:rsidRDefault="00C04A8B" w:rsidP="00C04A8B">
            <w:pPr>
              <w:rPr>
                <w:b/>
                <w:bCs/>
              </w:rPr>
            </w:pPr>
          </w:p>
        </w:tc>
        <w:tc>
          <w:tcPr>
            <w:tcW w:w="7818" w:type="dxa"/>
            <w:hideMark/>
          </w:tcPr>
          <w:p w:rsidR="00C04A8B" w:rsidRPr="004437FF" w:rsidRDefault="00C04A8B" w:rsidP="00C04A8B">
            <w:pPr>
              <w:rPr>
                <w:lang w:val="en-US"/>
              </w:rPr>
            </w:pPr>
            <w:r w:rsidRPr="004437FF">
              <w:rPr>
                <w:lang w:val="en-GB"/>
              </w:rPr>
              <w:t>(c)    by counterpart area and sectors for euro area counterparts</w:t>
            </w:r>
          </w:p>
        </w:tc>
      </w:tr>
      <w:tr w:rsidR="00C04A8B" w:rsidRPr="00356620" w:rsidTr="00C04A8B">
        <w:trPr>
          <w:trHeight w:val="332"/>
        </w:trPr>
        <w:tc>
          <w:tcPr>
            <w:tcW w:w="1179" w:type="dxa"/>
            <w:vMerge w:val="restart"/>
            <w:hideMark/>
          </w:tcPr>
          <w:p w:rsidR="00C04A8B" w:rsidRPr="004437FF" w:rsidRDefault="00C04A8B" w:rsidP="00C04A8B">
            <w:pPr>
              <w:rPr>
                <w:b/>
                <w:bCs/>
              </w:rPr>
            </w:pPr>
            <w:r w:rsidRPr="004437FF">
              <w:rPr>
                <w:b/>
                <w:bCs/>
                <w:lang w:val="en-GB"/>
              </w:rPr>
              <w:t>5</w:t>
            </w:r>
          </w:p>
        </w:tc>
        <w:tc>
          <w:tcPr>
            <w:tcW w:w="7818" w:type="dxa"/>
            <w:hideMark/>
          </w:tcPr>
          <w:p w:rsidR="00C04A8B" w:rsidRPr="004437FF" w:rsidRDefault="00C04A8B" w:rsidP="00C04A8B">
            <w:pPr>
              <w:rPr>
                <w:b/>
                <w:bCs/>
                <w:lang w:val="en-US"/>
              </w:rPr>
            </w:pPr>
            <w:r w:rsidRPr="004437FF">
              <w:rPr>
                <w:b/>
                <w:bCs/>
                <w:lang w:val="en-GB"/>
              </w:rPr>
              <w:t>Holdings of investment fund shares/units</w:t>
            </w:r>
          </w:p>
        </w:tc>
      </w:tr>
      <w:tr w:rsidR="00C04A8B" w:rsidRPr="00356620" w:rsidTr="00C04A8B">
        <w:trPr>
          <w:trHeight w:val="367"/>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(a)    MMF s/u and non-MMF s/u (separately), by counterpart area</w:t>
            </w:r>
          </w:p>
        </w:tc>
      </w:tr>
      <w:tr w:rsidR="00C04A8B" w:rsidRPr="00356620" w:rsidTr="00C04A8B">
        <w:trPr>
          <w:trHeight w:val="376"/>
        </w:trPr>
        <w:tc>
          <w:tcPr>
            <w:tcW w:w="1179" w:type="dxa"/>
            <w:vMerge/>
            <w:hideMark/>
          </w:tcPr>
          <w:p w:rsidR="00C04A8B" w:rsidRPr="004437FF" w:rsidRDefault="00C04A8B" w:rsidP="00C04A8B">
            <w:pPr>
              <w:rPr>
                <w:b/>
                <w:bCs/>
                <w:lang w:val="en-US"/>
              </w:rPr>
            </w:pPr>
          </w:p>
        </w:tc>
        <w:tc>
          <w:tcPr>
            <w:tcW w:w="7818" w:type="dxa"/>
            <w:hideMark/>
          </w:tcPr>
          <w:p w:rsidR="00C04A8B" w:rsidRPr="004437FF" w:rsidRDefault="00C04A8B" w:rsidP="00C04A8B">
            <w:pPr>
              <w:rPr>
                <w:lang w:val="en-US"/>
              </w:rPr>
            </w:pPr>
            <w:r w:rsidRPr="004437FF">
              <w:rPr>
                <w:lang w:val="en-GB"/>
              </w:rPr>
              <w:t>(b)   Total IF s/u by individual countries</w:t>
            </w:r>
          </w:p>
        </w:tc>
      </w:tr>
      <w:tr w:rsidR="00C04A8B" w:rsidRPr="004437FF" w:rsidTr="00C04A8B">
        <w:trPr>
          <w:trHeight w:val="332"/>
        </w:trPr>
        <w:tc>
          <w:tcPr>
            <w:tcW w:w="1179" w:type="dxa"/>
            <w:vMerge w:val="restart"/>
            <w:hideMark/>
          </w:tcPr>
          <w:p w:rsidR="00C04A8B" w:rsidRPr="004437FF" w:rsidRDefault="00C04A8B" w:rsidP="00C04A8B">
            <w:pPr>
              <w:rPr>
                <w:b/>
                <w:bCs/>
              </w:rPr>
            </w:pPr>
            <w:r w:rsidRPr="004437FF">
              <w:rPr>
                <w:b/>
                <w:bCs/>
                <w:lang w:val="en-GB"/>
              </w:rPr>
              <w:t>6</w:t>
            </w:r>
          </w:p>
        </w:tc>
        <w:tc>
          <w:tcPr>
            <w:tcW w:w="7818" w:type="dxa"/>
            <w:hideMark/>
          </w:tcPr>
          <w:p w:rsidR="00C04A8B" w:rsidRPr="004437FF" w:rsidRDefault="00C04A8B" w:rsidP="00C04A8B">
            <w:pPr>
              <w:rPr>
                <w:b/>
                <w:bCs/>
              </w:rPr>
            </w:pPr>
            <w:r w:rsidRPr="004437FF">
              <w:rPr>
                <w:b/>
                <w:bCs/>
                <w:lang w:val="en-GB"/>
              </w:rPr>
              <w:t>Non-life insurance technical reserves (reinsurance recoverables)</w:t>
            </w:r>
          </w:p>
        </w:tc>
      </w:tr>
      <w:tr w:rsidR="00C04A8B" w:rsidRPr="004437FF" w:rsidTr="00C04A8B">
        <w:trPr>
          <w:trHeight w:val="332"/>
        </w:trPr>
        <w:tc>
          <w:tcPr>
            <w:tcW w:w="1179" w:type="dxa"/>
            <w:vMerge/>
            <w:hideMark/>
          </w:tcPr>
          <w:p w:rsidR="00C04A8B" w:rsidRPr="004437FF" w:rsidRDefault="00C04A8B" w:rsidP="00C04A8B">
            <w:pPr>
              <w:rPr>
                <w:b/>
                <w:bCs/>
              </w:rPr>
            </w:pPr>
          </w:p>
        </w:tc>
        <w:tc>
          <w:tcPr>
            <w:tcW w:w="7818" w:type="dxa"/>
            <w:hideMark/>
          </w:tcPr>
          <w:p w:rsidR="00C04A8B" w:rsidRPr="004437FF" w:rsidRDefault="00C04A8B" w:rsidP="00C04A8B">
            <w:r w:rsidRPr="004437FF">
              <w:rPr>
                <w:lang w:val="en-GB"/>
              </w:rPr>
              <w:t>(a)    by counterpart area</w:t>
            </w:r>
          </w:p>
        </w:tc>
      </w:tr>
      <w:tr w:rsidR="00C04A8B" w:rsidRPr="004437FF" w:rsidTr="00C04A8B">
        <w:trPr>
          <w:trHeight w:val="309"/>
        </w:trPr>
        <w:tc>
          <w:tcPr>
            <w:tcW w:w="1179" w:type="dxa"/>
            <w:vMerge/>
            <w:hideMark/>
          </w:tcPr>
          <w:p w:rsidR="00C04A8B" w:rsidRPr="004437FF" w:rsidRDefault="00C04A8B" w:rsidP="00C04A8B">
            <w:pPr>
              <w:rPr>
                <w:b/>
                <w:bCs/>
              </w:rPr>
            </w:pPr>
          </w:p>
        </w:tc>
        <w:tc>
          <w:tcPr>
            <w:tcW w:w="7818" w:type="dxa"/>
            <w:hideMark/>
          </w:tcPr>
          <w:p w:rsidR="00C04A8B" w:rsidRPr="004437FF" w:rsidRDefault="00C04A8B" w:rsidP="00C04A8B">
            <w:r w:rsidRPr="004437FF">
              <w:rPr>
                <w:lang w:val="en-GB"/>
              </w:rPr>
              <w:t>(b)   by individual countries</w:t>
            </w:r>
          </w:p>
        </w:tc>
      </w:tr>
    </w:tbl>
    <w:p w:rsidR="00C04A8B" w:rsidRDefault="00C04A8B" w:rsidP="00E056DD">
      <w:pPr>
        <w:spacing w:before="240" w:line="360" w:lineRule="auto"/>
        <w:rPr>
          <w:color w:val="1F497D" w:themeColor="text2"/>
          <w:sz w:val="24"/>
          <w:szCs w:val="24"/>
          <w:lang w:val="en-US"/>
        </w:rPr>
      </w:pPr>
    </w:p>
    <w:p w:rsidR="00C04A8B" w:rsidRDefault="00C04A8B" w:rsidP="00E056DD">
      <w:pPr>
        <w:spacing w:before="240" w:line="360" w:lineRule="auto"/>
        <w:rPr>
          <w:color w:val="1F497D" w:themeColor="text2"/>
          <w:sz w:val="24"/>
          <w:szCs w:val="24"/>
          <w:lang w:val="en-US"/>
        </w:rPr>
      </w:pPr>
    </w:p>
    <w:tbl>
      <w:tblPr>
        <w:tblStyle w:val="Grilledutableau"/>
        <w:tblW w:w="0" w:type="auto"/>
        <w:tblLook w:val="04A0"/>
      </w:tblPr>
      <w:tblGrid>
        <w:gridCol w:w="1116"/>
        <w:gridCol w:w="8172"/>
      </w:tblGrid>
      <w:tr w:rsidR="00C04A8B" w:rsidRPr="004437FF" w:rsidTr="00C04A8B">
        <w:trPr>
          <w:trHeight w:val="405"/>
        </w:trPr>
        <w:tc>
          <w:tcPr>
            <w:tcW w:w="10200" w:type="dxa"/>
            <w:gridSpan w:val="2"/>
            <w:hideMark/>
          </w:tcPr>
          <w:p w:rsidR="00C04A8B" w:rsidRPr="004437FF" w:rsidRDefault="00C04A8B" w:rsidP="00C04A8B">
            <w:pPr>
              <w:rPr>
                <w:b/>
                <w:bCs/>
              </w:rPr>
            </w:pPr>
            <w:r w:rsidRPr="004437FF">
              <w:rPr>
                <w:b/>
                <w:bCs/>
                <w:lang w:val="en-GB"/>
              </w:rPr>
              <w:t>LIABILITIES</w:t>
            </w:r>
          </w:p>
        </w:tc>
      </w:tr>
      <w:tr w:rsidR="00C04A8B" w:rsidRPr="00356620" w:rsidTr="00C04A8B">
        <w:trPr>
          <w:trHeight w:val="435"/>
        </w:trPr>
        <w:tc>
          <w:tcPr>
            <w:tcW w:w="1200" w:type="dxa"/>
            <w:vMerge w:val="restart"/>
            <w:hideMark/>
          </w:tcPr>
          <w:p w:rsidR="00C04A8B" w:rsidRPr="004437FF" w:rsidRDefault="00C04A8B" w:rsidP="00C04A8B">
            <w:pPr>
              <w:rPr>
                <w:b/>
                <w:bCs/>
              </w:rPr>
            </w:pPr>
            <w:r w:rsidRPr="004437FF">
              <w:rPr>
                <w:b/>
                <w:bCs/>
                <w:lang w:val="en-GB"/>
              </w:rPr>
              <w:t>7</w:t>
            </w:r>
          </w:p>
        </w:tc>
        <w:tc>
          <w:tcPr>
            <w:tcW w:w="9000" w:type="dxa"/>
            <w:hideMark/>
          </w:tcPr>
          <w:p w:rsidR="00C04A8B" w:rsidRPr="004437FF" w:rsidRDefault="00C04A8B" w:rsidP="00C04A8B">
            <w:pPr>
              <w:rPr>
                <w:b/>
                <w:bCs/>
                <w:lang w:val="en-US"/>
              </w:rPr>
            </w:pPr>
            <w:r w:rsidRPr="004437FF">
              <w:rPr>
                <w:b/>
                <w:bCs/>
                <w:lang w:val="en-GB"/>
              </w:rPr>
              <w:t>Debt securities issued and loans received</w:t>
            </w:r>
          </w:p>
        </w:tc>
      </w:tr>
      <w:tr w:rsidR="00C04A8B" w:rsidRPr="00356620" w:rsidTr="00C04A8B">
        <w:trPr>
          <w:trHeight w:val="420"/>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(a)    separate totals for debt securities and loans received</w:t>
            </w:r>
          </w:p>
        </w:tc>
      </w:tr>
      <w:tr w:rsidR="00C04A8B" w:rsidRPr="00356620" w:rsidTr="00C04A8B">
        <w:trPr>
          <w:trHeight w:val="465"/>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(b)   loans received  by sector and counterpart area</w:t>
            </w:r>
          </w:p>
        </w:tc>
      </w:tr>
      <w:tr w:rsidR="00C04A8B" w:rsidRPr="00356620" w:rsidTr="00C04A8B">
        <w:trPr>
          <w:trHeight w:val="390"/>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(c)    loans received, of which deposit guarantees by counterpart area</w:t>
            </w:r>
          </w:p>
        </w:tc>
      </w:tr>
      <w:tr w:rsidR="00C04A8B" w:rsidRPr="00356620" w:rsidTr="00C04A8B">
        <w:trPr>
          <w:trHeight w:val="465"/>
        </w:trPr>
        <w:tc>
          <w:tcPr>
            <w:tcW w:w="1200" w:type="dxa"/>
            <w:vMerge w:val="restart"/>
            <w:hideMark/>
          </w:tcPr>
          <w:p w:rsidR="00C04A8B" w:rsidRPr="004437FF" w:rsidRDefault="00C04A8B" w:rsidP="00C04A8B">
            <w:pPr>
              <w:rPr>
                <w:b/>
                <w:bCs/>
              </w:rPr>
            </w:pPr>
            <w:r w:rsidRPr="004437FF">
              <w:rPr>
                <w:b/>
                <w:bCs/>
                <w:lang w:val="en-GB"/>
              </w:rPr>
              <w:t>8</w:t>
            </w:r>
          </w:p>
        </w:tc>
        <w:tc>
          <w:tcPr>
            <w:tcW w:w="9000" w:type="dxa"/>
            <w:hideMark/>
          </w:tcPr>
          <w:p w:rsidR="00C04A8B" w:rsidRPr="004437FF" w:rsidRDefault="00C04A8B" w:rsidP="00C04A8B">
            <w:pPr>
              <w:rPr>
                <w:b/>
                <w:bCs/>
                <w:lang w:val="en-US"/>
              </w:rPr>
            </w:pPr>
            <w:r w:rsidRPr="004437FF">
              <w:rPr>
                <w:b/>
                <w:bCs/>
                <w:lang w:val="en-GB"/>
              </w:rPr>
              <w:t>Listed shares, unlisted shares and other equity issued</w:t>
            </w:r>
          </w:p>
        </w:tc>
      </w:tr>
      <w:tr w:rsidR="00C04A8B" w:rsidRPr="004437FF" w:rsidTr="00C04A8B">
        <w:trPr>
          <w:trHeight w:val="375"/>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r w:rsidRPr="004437FF">
              <w:rPr>
                <w:lang w:val="en-GB"/>
              </w:rPr>
              <w:t>(a)    separate totals</w:t>
            </w:r>
          </w:p>
        </w:tc>
      </w:tr>
      <w:tr w:rsidR="00C04A8B" w:rsidRPr="004437FF" w:rsidTr="00C04A8B">
        <w:trPr>
          <w:trHeight w:val="420"/>
        </w:trPr>
        <w:tc>
          <w:tcPr>
            <w:tcW w:w="1200" w:type="dxa"/>
            <w:vMerge w:val="restart"/>
            <w:hideMark/>
          </w:tcPr>
          <w:p w:rsidR="00C04A8B" w:rsidRPr="004437FF" w:rsidRDefault="00C04A8B" w:rsidP="00C04A8B">
            <w:pPr>
              <w:rPr>
                <w:b/>
                <w:bCs/>
              </w:rPr>
            </w:pPr>
            <w:r w:rsidRPr="004437FF">
              <w:rPr>
                <w:b/>
                <w:bCs/>
                <w:lang w:val="en-GB"/>
              </w:rPr>
              <w:t>9</w:t>
            </w:r>
          </w:p>
        </w:tc>
        <w:tc>
          <w:tcPr>
            <w:tcW w:w="9000" w:type="dxa"/>
            <w:hideMark/>
          </w:tcPr>
          <w:p w:rsidR="00C04A8B" w:rsidRPr="004437FF" w:rsidRDefault="00C04A8B" w:rsidP="00C04A8B">
            <w:pPr>
              <w:rPr>
                <w:b/>
                <w:bCs/>
              </w:rPr>
            </w:pPr>
            <w:r w:rsidRPr="004437FF">
              <w:rPr>
                <w:b/>
                <w:bCs/>
                <w:lang w:val="en-GB"/>
              </w:rPr>
              <w:t>Insurance technical reserves (ITR)</w:t>
            </w:r>
          </w:p>
        </w:tc>
      </w:tr>
      <w:tr w:rsidR="00C04A8B" w:rsidRPr="00356620" w:rsidTr="00C04A8B">
        <w:trPr>
          <w:trHeight w:val="420"/>
        </w:trPr>
        <w:tc>
          <w:tcPr>
            <w:tcW w:w="1200" w:type="dxa"/>
            <w:vMerge/>
            <w:hideMark/>
          </w:tcPr>
          <w:p w:rsidR="00C04A8B" w:rsidRPr="004437FF" w:rsidRDefault="00C04A8B" w:rsidP="00C04A8B">
            <w:pPr>
              <w:rPr>
                <w:b/>
                <w:bCs/>
              </w:rPr>
            </w:pPr>
          </w:p>
        </w:tc>
        <w:tc>
          <w:tcPr>
            <w:tcW w:w="9000" w:type="dxa"/>
            <w:hideMark/>
          </w:tcPr>
          <w:p w:rsidR="00C04A8B" w:rsidRPr="004437FF" w:rsidRDefault="00C04A8B" w:rsidP="00C04A8B">
            <w:pPr>
              <w:rPr>
                <w:lang w:val="en-US"/>
              </w:rPr>
            </w:pPr>
            <w:r w:rsidRPr="004437FF">
              <w:rPr>
                <w:lang w:val="en-GB"/>
              </w:rPr>
              <w:t>(a)    separately life unit-linked, life non unit-linked and non-life, by counterpart area</w:t>
            </w:r>
          </w:p>
        </w:tc>
      </w:tr>
      <w:tr w:rsidR="00C04A8B" w:rsidRPr="00356620" w:rsidTr="00C04A8B">
        <w:trPr>
          <w:trHeight w:val="405"/>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(b)   separately life and non-life, by individual countries</w:t>
            </w:r>
          </w:p>
        </w:tc>
      </w:tr>
      <w:tr w:rsidR="00C04A8B" w:rsidRPr="00356620" w:rsidTr="00C04A8B">
        <w:trPr>
          <w:trHeight w:val="495"/>
        </w:trPr>
        <w:tc>
          <w:tcPr>
            <w:tcW w:w="1200" w:type="dxa"/>
            <w:vMerge w:val="restart"/>
            <w:hideMark/>
          </w:tcPr>
          <w:p w:rsidR="00C04A8B" w:rsidRPr="004437FF" w:rsidRDefault="00C04A8B" w:rsidP="00C04A8B">
            <w:pPr>
              <w:rPr>
                <w:b/>
                <w:bCs/>
              </w:rPr>
            </w:pPr>
            <w:r w:rsidRPr="004437FF">
              <w:rPr>
                <w:b/>
                <w:bCs/>
                <w:lang w:val="en-GB"/>
              </w:rPr>
              <w:t>10</w:t>
            </w:r>
          </w:p>
        </w:tc>
        <w:tc>
          <w:tcPr>
            <w:tcW w:w="9000" w:type="dxa"/>
            <w:hideMark/>
          </w:tcPr>
          <w:p w:rsidR="00C04A8B" w:rsidRPr="004437FF" w:rsidRDefault="00C04A8B" w:rsidP="00C04A8B">
            <w:pPr>
              <w:rPr>
                <w:b/>
                <w:bCs/>
                <w:lang w:val="en-US"/>
              </w:rPr>
            </w:pPr>
            <w:r w:rsidRPr="004437FF">
              <w:rPr>
                <w:b/>
                <w:bCs/>
                <w:lang w:val="en-GB"/>
              </w:rPr>
              <w:t>ITR: identification of pension fund reserves in life insurance</w:t>
            </w:r>
          </w:p>
        </w:tc>
      </w:tr>
      <w:tr w:rsidR="00C04A8B" w:rsidRPr="00356620" w:rsidTr="00C04A8B">
        <w:trPr>
          <w:trHeight w:val="450"/>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(a)    pension fund reserves, separately defined contribution, defined benefit and hybrid schemes</w:t>
            </w:r>
          </w:p>
        </w:tc>
      </w:tr>
      <w:tr w:rsidR="00C04A8B" w:rsidRPr="00356620" w:rsidTr="00C04A8B">
        <w:trPr>
          <w:trHeight w:val="465"/>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(b)   pension fund reserves, by counterpart area</w:t>
            </w:r>
          </w:p>
        </w:tc>
      </w:tr>
      <w:tr w:rsidR="00C04A8B" w:rsidRPr="00356620" w:rsidTr="00C04A8B">
        <w:trPr>
          <w:trHeight w:val="405"/>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(c)    pension fund reserves, by individual countries</w:t>
            </w:r>
          </w:p>
        </w:tc>
      </w:tr>
      <w:tr w:rsidR="00C04A8B" w:rsidRPr="004437FF" w:rsidTr="00C04A8B">
        <w:trPr>
          <w:trHeight w:val="420"/>
        </w:trPr>
        <w:tc>
          <w:tcPr>
            <w:tcW w:w="1200" w:type="dxa"/>
            <w:vMerge w:val="restart"/>
            <w:hideMark/>
          </w:tcPr>
          <w:p w:rsidR="00C04A8B" w:rsidRPr="004437FF" w:rsidRDefault="00C04A8B" w:rsidP="00C04A8B">
            <w:pPr>
              <w:rPr>
                <w:b/>
                <w:bCs/>
              </w:rPr>
            </w:pPr>
            <w:r w:rsidRPr="004437FF">
              <w:rPr>
                <w:b/>
                <w:bCs/>
                <w:lang w:val="en-GB"/>
              </w:rPr>
              <w:t>11</w:t>
            </w:r>
          </w:p>
        </w:tc>
        <w:tc>
          <w:tcPr>
            <w:tcW w:w="9000" w:type="dxa"/>
            <w:hideMark/>
          </w:tcPr>
          <w:p w:rsidR="00C04A8B" w:rsidRPr="004437FF" w:rsidRDefault="00C04A8B" w:rsidP="00C04A8B">
            <w:pPr>
              <w:rPr>
                <w:b/>
                <w:bCs/>
              </w:rPr>
            </w:pPr>
            <w:r w:rsidRPr="004437FF">
              <w:rPr>
                <w:b/>
                <w:bCs/>
                <w:lang w:val="en-GB"/>
              </w:rPr>
              <w:t>ITR</w:t>
            </w:r>
          </w:p>
        </w:tc>
      </w:tr>
      <w:tr w:rsidR="00C04A8B" w:rsidRPr="00356620" w:rsidTr="00C04A8B">
        <w:trPr>
          <w:trHeight w:val="435"/>
        </w:trPr>
        <w:tc>
          <w:tcPr>
            <w:tcW w:w="1200" w:type="dxa"/>
            <w:vMerge/>
            <w:hideMark/>
          </w:tcPr>
          <w:p w:rsidR="00C04A8B" w:rsidRPr="004437FF" w:rsidRDefault="00C04A8B" w:rsidP="00C04A8B">
            <w:pPr>
              <w:rPr>
                <w:b/>
                <w:bCs/>
              </w:rPr>
            </w:pPr>
          </w:p>
        </w:tc>
        <w:tc>
          <w:tcPr>
            <w:tcW w:w="9000" w:type="dxa"/>
            <w:hideMark/>
          </w:tcPr>
          <w:p w:rsidR="00C04A8B" w:rsidRPr="004437FF" w:rsidRDefault="00C04A8B" w:rsidP="00C04A8B">
            <w:pPr>
              <w:rPr>
                <w:lang w:val="en-US"/>
              </w:rPr>
            </w:pPr>
            <w:r w:rsidRPr="004437FF">
              <w:rPr>
                <w:lang w:val="en-GB"/>
              </w:rPr>
              <w:t>(a)    non-life ITR by sector for euro area counterparts</w:t>
            </w:r>
          </w:p>
        </w:tc>
      </w:tr>
      <w:tr w:rsidR="00C04A8B" w:rsidRPr="00356620" w:rsidTr="00C04A8B">
        <w:trPr>
          <w:trHeight w:val="420"/>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(b)   flow data, including revaluations of technical reserves</w:t>
            </w:r>
          </w:p>
        </w:tc>
      </w:tr>
    </w:tbl>
    <w:p w:rsidR="00C04A8B" w:rsidRDefault="00C04A8B" w:rsidP="00E056DD">
      <w:pPr>
        <w:spacing w:before="240" w:line="360" w:lineRule="auto"/>
        <w:rPr>
          <w:color w:val="1F497D" w:themeColor="text2"/>
          <w:sz w:val="24"/>
          <w:szCs w:val="24"/>
          <w:lang w:val="en-US"/>
        </w:rPr>
      </w:pPr>
    </w:p>
    <w:tbl>
      <w:tblPr>
        <w:tblStyle w:val="Grilledutableau"/>
        <w:tblW w:w="0" w:type="auto"/>
        <w:tblLook w:val="04A0"/>
      </w:tblPr>
      <w:tblGrid>
        <w:gridCol w:w="1113"/>
        <w:gridCol w:w="8175"/>
      </w:tblGrid>
      <w:tr w:rsidR="00C04A8B" w:rsidRPr="004437FF" w:rsidTr="00C04A8B">
        <w:trPr>
          <w:trHeight w:hRule="exact" w:val="405"/>
        </w:trPr>
        <w:tc>
          <w:tcPr>
            <w:tcW w:w="10200" w:type="dxa"/>
            <w:gridSpan w:val="2"/>
            <w:hideMark/>
          </w:tcPr>
          <w:p w:rsidR="00C04A8B" w:rsidRPr="004437FF" w:rsidRDefault="00C04A8B" w:rsidP="00C04A8B">
            <w:pPr>
              <w:rPr>
                <w:b/>
                <w:bCs/>
              </w:rPr>
            </w:pPr>
            <w:r w:rsidRPr="004437FF">
              <w:rPr>
                <w:b/>
                <w:bCs/>
                <w:lang w:val="en-GB"/>
              </w:rPr>
              <w:t>GENERAL</w:t>
            </w:r>
          </w:p>
        </w:tc>
      </w:tr>
      <w:tr w:rsidR="00C04A8B" w:rsidRPr="004437FF" w:rsidTr="00C04A8B">
        <w:trPr>
          <w:trHeight w:val="390"/>
        </w:trPr>
        <w:tc>
          <w:tcPr>
            <w:tcW w:w="1200" w:type="dxa"/>
            <w:vMerge w:val="restart"/>
            <w:hideMark/>
          </w:tcPr>
          <w:p w:rsidR="00C04A8B" w:rsidRPr="004437FF" w:rsidRDefault="00C04A8B" w:rsidP="00C04A8B">
            <w:pPr>
              <w:rPr>
                <w:b/>
                <w:bCs/>
              </w:rPr>
            </w:pPr>
            <w:r w:rsidRPr="004437FF">
              <w:rPr>
                <w:b/>
                <w:bCs/>
                <w:lang w:val="en-GB"/>
              </w:rPr>
              <w:t>12</w:t>
            </w:r>
          </w:p>
        </w:tc>
        <w:tc>
          <w:tcPr>
            <w:tcW w:w="9000" w:type="dxa"/>
            <w:hideMark/>
          </w:tcPr>
          <w:p w:rsidR="00C04A8B" w:rsidRPr="004437FF" w:rsidRDefault="00C04A8B" w:rsidP="00C04A8B">
            <w:pPr>
              <w:rPr>
                <w:b/>
                <w:bCs/>
              </w:rPr>
            </w:pPr>
            <w:r w:rsidRPr="004437FF">
              <w:rPr>
                <w:b/>
                <w:bCs/>
                <w:lang w:val="en-GB"/>
              </w:rPr>
              <w:t>Timeliness</w:t>
            </w:r>
          </w:p>
        </w:tc>
      </w:tr>
      <w:tr w:rsidR="00C04A8B" w:rsidRPr="00356620" w:rsidTr="00C04A8B">
        <w:trPr>
          <w:trHeight w:val="420"/>
        </w:trPr>
        <w:tc>
          <w:tcPr>
            <w:tcW w:w="1200" w:type="dxa"/>
            <w:vMerge/>
            <w:hideMark/>
          </w:tcPr>
          <w:p w:rsidR="00C04A8B" w:rsidRPr="004437FF" w:rsidRDefault="00C04A8B" w:rsidP="00C04A8B">
            <w:pPr>
              <w:rPr>
                <w:b/>
                <w:bCs/>
              </w:rPr>
            </w:pPr>
          </w:p>
        </w:tc>
        <w:tc>
          <w:tcPr>
            <w:tcW w:w="9000" w:type="dxa"/>
            <w:hideMark/>
          </w:tcPr>
          <w:p w:rsidR="00C04A8B" w:rsidRPr="004437FF" w:rsidRDefault="00C04A8B" w:rsidP="00C04A8B">
            <w:pPr>
              <w:rPr>
                <w:lang w:val="en-US"/>
              </w:rPr>
            </w:pPr>
            <w:r w:rsidRPr="004437FF">
              <w:rPr>
                <w:lang w:val="en-GB"/>
              </w:rPr>
              <w:t>(a)    Improved timeliness t+4 weeks, for all b</w:t>
            </w:r>
            <w:r w:rsidR="00BC71DF">
              <w:rPr>
                <w:lang w:val="en-GB"/>
              </w:rPr>
              <w:t>alance sheet</w:t>
            </w:r>
            <w:r w:rsidRPr="004437FF">
              <w:rPr>
                <w:lang w:val="en-GB"/>
              </w:rPr>
              <w:t xml:space="preserve"> items, as of 2020Q1</w:t>
            </w:r>
          </w:p>
        </w:tc>
      </w:tr>
      <w:tr w:rsidR="00C04A8B" w:rsidRPr="00356620" w:rsidTr="00C04A8B">
        <w:trPr>
          <w:trHeight w:val="450"/>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(b)   Improved timeliness t+4 weeks, only for assets, as of 2020Q1</w:t>
            </w:r>
          </w:p>
        </w:tc>
      </w:tr>
      <w:tr w:rsidR="00C04A8B" w:rsidRPr="004437FF" w:rsidTr="00C04A8B">
        <w:trPr>
          <w:trHeight w:val="435"/>
        </w:trPr>
        <w:tc>
          <w:tcPr>
            <w:tcW w:w="1200" w:type="dxa"/>
            <w:vMerge w:val="restart"/>
            <w:hideMark/>
          </w:tcPr>
          <w:p w:rsidR="00C04A8B" w:rsidRPr="004437FF" w:rsidRDefault="00C04A8B" w:rsidP="00C04A8B">
            <w:pPr>
              <w:rPr>
                <w:b/>
                <w:bCs/>
              </w:rPr>
            </w:pPr>
            <w:r w:rsidRPr="004437FF">
              <w:rPr>
                <w:b/>
                <w:bCs/>
                <w:lang w:val="en-GB"/>
              </w:rPr>
              <w:t>13</w:t>
            </w:r>
          </w:p>
        </w:tc>
        <w:tc>
          <w:tcPr>
            <w:tcW w:w="9000" w:type="dxa"/>
            <w:hideMark/>
          </w:tcPr>
          <w:p w:rsidR="00C04A8B" w:rsidRPr="004437FF" w:rsidRDefault="00C04A8B" w:rsidP="00C04A8B">
            <w:pPr>
              <w:rPr>
                <w:b/>
                <w:bCs/>
              </w:rPr>
            </w:pPr>
            <w:r w:rsidRPr="004437FF">
              <w:rPr>
                <w:b/>
                <w:bCs/>
                <w:lang w:val="en-GB"/>
              </w:rPr>
              <w:t>Implementation of host approach</w:t>
            </w:r>
          </w:p>
        </w:tc>
      </w:tr>
      <w:tr w:rsidR="00C04A8B" w:rsidRPr="00356620" w:rsidTr="00C04A8B">
        <w:trPr>
          <w:trHeight w:val="330"/>
        </w:trPr>
        <w:tc>
          <w:tcPr>
            <w:tcW w:w="1200" w:type="dxa"/>
            <w:vMerge/>
            <w:hideMark/>
          </w:tcPr>
          <w:p w:rsidR="00C04A8B" w:rsidRPr="004437FF" w:rsidRDefault="00C04A8B" w:rsidP="00C04A8B">
            <w:pPr>
              <w:rPr>
                <w:b/>
                <w:bCs/>
              </w:rPr>
            </w:pPr>
          </w:p>
        </w:tc>
        <w:tc>
          <w:tcPr>
            <w:tcW w:w="9000" w:type="dxa"/>
            <w:hideMark/>
          </w:tcPr>
          <w:p w:rsidR="00C04A8B" w:rsidRPr="004437FF" w:rsidRDefault="00C04A8B" w:rsidP="00C04A8B">
            <w:pPr>
              <w:rPr>
                <w:lang w:val="en-US"/>
              </w:rPr>
            </w:pPr>
            <w:r w:rsidRPr="004437FF">
              <w:rPr>
                <w:lang w:val="en-GB"/>
              </w:rPr>
              <w:t>(a)    Using balance sheet information</w:t>
            </w:r>
          </w:p>
        </w:tc>
      </w:tr>
      <w:tr w:rsidR="00C04A8B" w:rsidRPr="00356620" w:rsidTr="00C04A8B">
        <w:trPr>
          <w:trHeight w:val="375"/>
        </w:trPr>
        <w:tc>
          <w:tcPr>
            <w:tcW w:w="1200" w:type="dxa"/>
            <w:vMerge/>
            <w:hideMark/>
          </w:tcPr>
          <w:p w:rsidR="00C04A8B" w:rsidRPr="004437FF" w:rsidRDefault="00C04A8B" w:rsidP="00C04A8B">
            <w:pPr>
              <w:rPr>
                <w:b/>
                <w:bCs/>
                <w:lang w:val="en-US"/>
              </w:rPr>
            </w:pPr>
          </w:p>
        </w:tc>
        <w:tc>
          <w:tcPr>
            <w:tcW w:w="9000" w:type="dxa"/>
            <w:hideMark/>
          </w:tcPr>
          <w:p w:rsidR="00C04A8B" w:rsidRPr="004437FF" w:rsidRDefault="00C04A8B" w:rsidP="00C04A8B">
            <w:pPr>
              <w:rPr>
                <w:lang w:val="en-US"/>
              </w:rPr>
            </w:pPr>
            <w:r w:rsidRPr="004437FF">
              <w:rPr>
                <w:lang w:val="en-GB"/>
              </w:rPr>
              <w:t>(b)   Using basic information of branches (e.g. premiums and/or reserves)</w:t>
            </w:r>
          </w:p>
        </w:tc>
      </w:tr>
    </w:tbl>
    <w:p w:rsidR="00C04A8B" w:rsidRPr="00C04A8B" w:rsidRDefault="00C04A8B" w:rsidP="00E056DD">
      <w:pPr>
        <w:spacing w:before="240" w:line="360" w:lineRule="auto"/>
        <w:rPr>
          <w:color w:val="1F497D" w:themeColor="text2"/>
          <w:sz w:val="24"/>
          <w:szCs w:val="24"/>
          <w:lang w:val="en-US"/>
        </w:rPr>
      </w:pPr>
    </w:p>
    <w:sectPr w:rsidR="00C04A8B" w:rsidRPr="00C04A8B" w:rsidSect="0061247F">
      <w:footerReference w:type="default" r:id="rId11"/>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A5" w:rsidRDefault="00DC37A5" w:rsidP="00772F6F">
      <w:r>
        <w:separator/>
      </w:r>
    </w:p>
  </w:endnote>
  <w:endnote w:type="continuationSeparator" w:id="0">
    <w:p w:rsidR="00DC37A5" w:rsidRDefault="00DC37A5" w:rsidP="0077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WG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46641"/>
      <w:docPartObj>
        <w:docPartGallery w:val="Page Numbers (Bottom of Page)"/>
        <w:docPartUnique/>
      </w:docPartObj>
    </w:sdtPr>
    <w:sdtContent>
      <w:p w:rsidR="00CC0ED0" w:rsidRDefault="002B2E4F" w:rsidP="00C67501">
        <w:pPr>
          <w:pStyle w:val="Pieddepage"/>
          <w:jc w:val="right"/>
        </w:pPr>
        <w:fldSimple w:instr=" PAGE   \* MERGEFORMAT ">
          <w:r w:rsidR="00AA2AD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A5" w:rsidRDefault="00DC37A5" w:rsidP="00772F6F">
      <w:r>
        <w:separator/>
      </w:r>
    </w:p>
  </w:footnote>
  <w:footnote w:type="continuationSeparator" w:id="0">
    <w:p w:rsidR="00DC37A5" w:rsidRDefault="00DC37A5" w:rsidP="00772F6F">
      <w:r>
        <w:continuationSeparator/>
      </w:r>
    </w:p>
  </w:footnote>
  <w:footnote w:id="1">
    <w:p w:rsidR="00CC0ED0" w:rsidRPr="007A0836" w:rsidRDefault="00CC0ED0" w:rsidP="005140D2">
      <w:pPr>
        <w:pStyle w:val="Notedebasdepage"/>
        <w:ind w:right="0"/>
        <w:rPr>
          <w:sz w:val="20"/>
          <w:lang w:val="en-US"/>
        </w:rPr>
      </w:pPr>
      <w:r w:rsidRPr="007A0836">
        <w:rPr>
          <w:rStyle w:val="Appelnotedebasdep"/>
          <w:sz w:val="16"/>
          <w:szCs w:val="16"/>
        </w:rPr>
        <w:footnoteRef/>
      </w:r>
      <w:r w:rsidRPr="00BE7AA0">
        <w:rPr>
          <w:lang w:val="en-US"/>
        </w:rPr>
        <w:t xml:space="preserve"> </w:t>
      </w:r>
      <w:r w:rsidRPr="007A0836">
        <w:rPr>
          <w:sz w:val="20"/>
          <w:lang w:val="en-US"/>
        </w:rPr>
        <w:t>Report to the G-20 Finance Ministers and Central Bank Governors, recommendation n°15, October29, 2009</w:t>
      </w:r>
    </w:p>
  </w:footnote>
  <w:footnote w:id="2">
    <w:p w:rsidR="00CC0ED0" w:rsidRPr="007A0836" w:rsidRDefault="00CC0ED0" w:rsidP="005140D2">
      <w:pPr>
        <w:pStyle w:val="Notedebasdepage"/>
        <w:ind w:right="0"/>
        <w:rPr>
          <w:sz w:val="20"/>
          <w:lang w:val="en-US"/>
        </w:rPr>
      </w:pPr>
      <w:r w:rsidRPr="007A0836">
        <w:rPr>
          <w:rStyle w:val="Appelnotedebasdep"/>
          <w:sz w:val="16"/>
          <w:szCs w:val="16"/>
        </w:rPr>
        <w:footnoteRef/>
      </w:r>
      <w:r w:rsidRPr="007A0836">
        <w:rPr>
          <w:szCs w:val="16"/>
          <w:lang w:val="en-US"/>
        </w:rPr>
        <w:t xml:space="preserve"> </w:t>
      </w:r>
      <w:r w:rsidRPr="007A0836">
        <w:rPr>
          <w:sz w:val="20"/>
          <w:lang w:val="en-US"/>
        </w:rPr>
        <w:t>The European Systemic Risk Board was established in January 2011.</w:t>
      </w:r>
    </w:p>
  </w:footnote>
  <w:footnote w:id="3">
    <w:p w:rsidR="00CC0ED0" w:rsidRPr="00440995" w:rsidRDefault="00CC0ED0" w:rsidP="001503EA">
      <w:pPr>
        <w:pStyle w:val="Notedebasdepage"/>
        <w:rPr>
          <w:sz w:val="20"/>
          <w:lang w:val="en-US"/>
        </w:rPr>
      </w:pPr>
      <w:r w:rsidRPr="00440995">
        <w:rPr>
          <w:rStyle w:val="Appelnotedebasdep"/>
          <w:sz w:val="20"/>
        </w:rPr>
        <w:footnoteRef/>
      </w:r>
      <w:r w:rsidRPr="00440995">
        <w:rPr>
          <w:sz w:val="20"/>
          <w:lang w:val="en-US"/>
        </w:rPr>
        <w:t xml:space="preserve"> Directive 2009/138/EC on the taking-up and pursuit of the business of insurance and reinsurance.</w:t>
      </w:r>
    </w:p>
  </w:footnote>
  <w:footnote w:id="4">
    <w:p w:rsidR="00CC0ED0" w:rsidRPr="00B171A7" w:rsidRDefault="00CC0ED0" w:rsidP="00440995">
      <w:pPr>
        <w:pStyle w:val="Notedebasdepage"/>
        <w:ind w:right="0"/>
        <w:rPr>
          <w:rStyle w:val="Appelnotedebasdep"/>
          <w:sz w:val="20"/>
          <w:lang w:val="en-US"/>
        </w:rPr>
      </w:pPr>
      <w:r w:rsidRPr="00E056DD">
        <w:rPr>
          <w:rStyle w:val="Appelnotedebasdep"/>
          <w:sz w:val="20"/>
        </w:rPr>
        <w:footnoteRef/>
      </w:r>
      <w:r w:rsidRPr="00E056DD">
        <w:rPr>
          <w:sz w:val="20"/>
          <w:lang w:val="en-US"/>
        </w:rPr>
        <w:t xml:space="preserve"> </w:t>
      </w:r>
      <w:r w:rsidRPr="00B171A7">
        <w:rPr>
          <w:rStyle w:val="Appelnotedebasdep"/>
          <w:sz w:val="20"/>
          <w:lang w:val="en-US"/>
        </w:rPr>
        <w:t>It should be mentioned that contrary to the ECB, the EIOPA is not empowered to issue regulations, although it can issue guidelines and recommendations as well as draft regulatory and technical standards.</w:t>
      </w:r>
    </w:p>
  </w:footnote>
  <w:footnote w:id="5">
    <w:p w:rsidR="00CC0ED0" w:rsidRPr="00B413BD" w:rsidRDefault="00CC0ED0" w:rsidP="00440995">
      <w:pPr>
        <w:pStyle w:val="Notedebasdepage"/>
        <w:ind w:right="0"/>
        <w:rPr>
          <w:rStyle w:val="Appelnotedebasdep"/>
          <w:sz w:val="20"/>
          <w:lang w:val="en-US"/>
        </w:rPr>
      </w:pPr>
      <w:r w:rsidRPr="00440995">
        <w:rPr>
          <w:rStyle w:val="Appelnotedebasdep"/>
          <w:sz w:val="20"/>
        </w:rPr>
        <w:footnoteRef/>
      </w:r>
      <w:r w:rsidRPr="002B0871">
        <w:rPr>
          <w:rStyle w:val="Appelnotedebasdep"/>
          <w:sz w:val="20"/>
          <w:lang w:val="en-US"/>
        </w:rPr>
        <w:t xml:space="preserve"> The ECB’s main focus for monetary policy is on the life business of insurance companies, and not </w:t>
      </w:r>
      <w:r>
        <w:rPr>
          <w:rStyle w:val="Appelnotedebasdep"/>
          <w:sz w:val="20"/>
          <w:lang w:val="en-US"/>
        </w:rPr>
        <w:t>o</w:t>
      </w:r>
      <w:r w:rsidRPr="002B0871">
        <w:rPr>
          <w:rStyle w:val="Appelnotedebasdep"/>
          <w:sz w:val="20"/>
          <w:lang w:val="en-US"/>
        </w:rPr>
        <w:t>n non-life insurance business (motor, fire, accident, etc.)</w:t>
      </w:r>
    </w:p>
  </w:footnote>
  <w:footnote w:id="6">
    <w:p w:rsidR="00CC0ED0" w:rsidRPr="004851EB" w:rsidRDefault="00CC0ED0" w:rsidP="00A02FEF">
      <w:pPr>
        <w:pStyle w:val="Notedebasdepage"/>
        <w:ind w:right="0"/>
        <w:rPr>
          <w:rStyle w:val="Appelnotedebasdep"/>
          <w:sz w:val="20"/>
          <w:lang w:val="en-US"/>
        </w:rPr>
      </w:pPr>
      <w:r w:rsidRPr="00E056DD">
        <w:rPr>
          <w:rStyle w:val="Appelnotedebasdep"/>
          <w:sz w:val="20"/>
        </w:rPr>
        <w:footnoteRef/>
      </w:r>
      <w:r w:rsidRPr="004851EB">
        <w:rPr>
          <w:lang w:val="en-US"/>
        </w:rPr>
        <w:t xml:space="preserve"> </w:t>
      </w:r>
      <w:r w:rsidRPr="004851EB">
        <w:rPr>
          <w:rStyle w:val="Appelnotedebasdep"/>
          <w:sz w:val="20"/>
          <w:lang w:val="en-US"/>
        </w:rPr>
        <w:t>Regulation (EU) No 549/2013 of the European Parliament and of the Council of 21 May 2013 on the European system of national and regional accounts in the European Union (the ESA 2010).</w:t>
      </w:r>
    </w:p>
  </w:footnote>
  <w:footnote w:id="7">
    <w:p w:rsidR="00CC0ED0" w:rsidRPr="00440995" w:rsidRDefault="00CC0ED0" w:rsidP="00846FD2">
      <w:pPr>
        <w:pStyle w:val="Notedebasdepage"/>
        <w:ind w:right="0"/>
        <w:rPr>
          <w:rStyle w:val="Appelnotedebasdep"/>
          <w:sz w:val="20"/>
        </w:rPr>
      </w:pPr>
      <w:r w:rsidRPr="00440995">
        <w:rPr>
          <w:rStyle w:val="Appelnotedebasdep"/>
          <w:sz w:val="20"/>
        </w:rPr>
        <w:footnoteRef/>
      </w:r>
      <w:r w:rsidRPr="00440995">
        <w:rPr>
          <w:rStyle w:val="Appelnotedebasdep"/>
          <w:sz w:val="20"/>
        </w:rPr>
        <w:t xml:space="preserve"> Council Regulation (EC) No 2533/98 concerning the collection of statistical information by the European Central Bank, as last amended by Council Regulation (EC) 951/2009</w:t>
      </w:r>
    </w:p>
  </w:footnote>
  <w:footnote w:id="8">
    <w:p w:rsidR="00CC0ED0" w:rsidRPr="007D4B68" w:rsidRDefault="00CC0ED0" w:rsidP="00C67501">
      <w:pPr>
        <w:rPr>
          <w:lang w:val="en-US"/>
        </w:rPr>
      </w:pPr>
      <w:r>
        <w:rPr>
          <w:rStyle w:val="Appelnotedebasdep"/>
        </w:rPr>
        <w:footnoteRef/>
      </w:r>
      <w:r w:rsidRPr="002B0871">
        <w:rPr>
          <w:lang w:val="en-US"/>
        </w:rPr>
        <w:t xml:space="preserve"> </w:t>
      </w:r>
      <w:r w:rsidRPr="002B0871">
        <w:rPr>
          <w:sz w:val="20"/>
          <w:lang w:val="en-US"/>
        </w:rPr>
        <w:t>The Committees assist the work of the decision-making bodies of the ECB, which can request them to provide any information in their fields of expertise in order to facilitate the decision-making process and the implementation of decisions.</w:t>
      </w:r>
      <w:r w:rsidRPr="007479EE">
        <w:rPr>
          <w:sz w:val="16"/>
          <w:lang w:val="en-US"/>
        </w:rPr>
        <w:t xml:space="preserve"> </w:t>
      </w:r>
    </w:p>
  </w:footnote>
  <w:footnote w:id="9">
    <w:p w:rsidR="00CC0ED0" w:rsidRPr="006B6DEB" w:rsidRDefault="00CC0ED0">
      <w:pPr>
        <w:pStyle w:val="Notedebasdepage"/>
        <w:rPr>
          <w:sz w:val="20"/>
          <w:lang w:val="en-US"/>
        </w:rPr>
      </w:pPr>
      <w:r>
        <w:rPr>
          <w:rStyle w:val="Appelnotedebasdep"/>
        </w:rPr>
        <w:footnoteRef/>
      </w:r>
      <w:r w:rsidRPr="006B6DEB">
        <w:rPr>
          <w:lang w:val="en-US"/>
        </w:rPr>
        <w:t xml:space="preserve"> </w:t>
      </w:r>
      <w:r w:rsidRPr="006B6DEB">
        <w:rPr>
          <w:sz w:val="20"/>
          <w:lang w:val="en-US"/>
        </w:rPr>
        <w:t xml:space="preserve">There </w:t>
      </w:r>
      <w:r>
        <w:rPr>
          <w:sz w:val="20"/>
          <w:lang w:val="en-US"/>
        </w:rPr>
        <w:t>is</w:t>
      </w:r>
      <w:r w:rsidRPr="006B6DEB">
        <w:rPr>
          <w:sz w:val="20"/>
          <w:lang w:val="en-US"/>
        </w:rPr>
        <w:t xml:space="preserve"> no pension fund in France.</w:t>
      </w:r>
    </w:p>
  </w:footnote>
  <w:footnote w:id="10">
    <w:p w:rsidR="00CC0ED0" w:rsidRPr="004F5CD2" w:rsidRDefault="00CC0ED0" w:rsidP="005F19EA">
      <w:pPr>
        <w:pStyle w:val="Notedebasdepage"/>
        <w:ind w:right="0"/>
        <w:rPr>
          <w:lang w:val="en-US"/>
        </w:rPr>
      </w:pPr>
      <w:r>
        <w:rPr>
          <w:rStyle w:val="Appelnotedebasdep"/>
        </w:rPr>
        <w:footnoteRef/>
      </w:r>
      <w:r w:rsidRPr="004F5CD2">
        <w:rPr>
          <w:lang w:val="en-US"/>
        </w:rPr>
        <w:t xml:space="preserve"> </w:t>
      </w:r>
      <w:r w:rsidRPr="004F5CD2">
        <w:rPr>
          <w:sz w:val="20"/>
          <w:lang w:val="en-US"/>
        </w:rPr>
        <w:t>The French IC sector is</w:t>
      </w:r>
      <w:r>
        <w:rPr>
          <w:lang w:val="en-US"/>
        </w:rPr>
        <w:t xml:space="preserve"> </w:t>
      </w:r>
      <w:r>
        <w:rPr>
          <w:sz w:val="20"/>
          <w:lang w:val="en-US"/>
        </w:rPr>
        <w:t>c</w:t>
      </w:r>
      <w:r w:rsidRPr="004F5CD2">
        <w:rPr>
          <w:sz w:val="20"/>
          <w:lang w:val="en-US"/>
        </w:rPr>
        <w:t>omposed of 96 life insurance companies, 212 non life insurance companies and 650 mutual insurance companies</w:t>
      </w:r>
      <w:r>
        <w:rPr>
          <w:sz w:val="20"/>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422"/>
    <w:multiLevelType w:val="hybridMultilevel"/>
    <w:tmpl w:val="6C22E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C177D6"/>
    <w:multiLevelType w:val="hybridMultilevel"/>
    <w:tmpl w:val="5CFC9D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3">
    <w:nsid w:val="1F4B49E8"/>
    <w:multiLevelType w:val="hybridMultilevel"/>
    <w:tmpl w:val="D04A630C"/>
    <w:lvl w:ilvl="0" w:tplc="59DCCAE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0A7A8E"/>
    <w:multiLevelType w:val="multilevel"/>
    <w:tmpl w:val="B69067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6">
    <w:nsid w:val="2B1570EF"/>
    <w:multiLevelType w:val="hybridMultilevel"/>
    <w:tmpl w:val="C65C6EAA"/>
    <w:lvl w:ilvl="0" w:tplc="CC4AAF64">
      <w:start w:val="1"/>
      <w:numFmt w:val="bullet"/>
      <w:lvlText w:val="-"/>
      <w:lvlJc w:val="left"/>
      <w:pPr>
        <w:ind w:left="720" w:hanging="360"/>
      </w:pPr>
      <w:rPr>
        <w:rFonts w:ascii="Times New Roman" w:eastAsia="Times New Roman" w:hAnsi="Times New Roman" w:cs="Times New Roman" w:hint="default"/>
      </w:rPr>
    </w:lvl>
    <w:lvl w:ilvl="1" w:tplc="CC4AAF64">
      <w:start w:val="1"/>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BF04FB"/>
    <w:multiLevelType w:val="hybridMultilevel"/>
    <w:tmpl w:val="1B82AA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F31B7A"/>
    <w:multiLevelType w:val="hybridMultilevel"/>
    <w:tmpl w:val="B37644E8"/>
    <w:lvl w:ilvl="0" w:tplc="DD0C9E7E">
      <w:start w:val="1"/>
      <w:numFmt w:val="bullet"/>
      <w:lvlText w:val="–"/>
      <w:lvlJc w:val="left"/>
      <w:pPr>
        <w:tabs>
          <w:tab w:val="num" w:pos="720"/>
        </w:tabs>
        <w:ind w:left="720" w:hanging="360"/>
      </w:pPr>
      <w:rPr>
        <w:rFonts w:ascii="Times New Roman" w:hAnsi="Times New Roman" w:hint="default"/>
      </w:rPr>
    </w:lvl>
    <w:lvl w:ilvl="1" w:tplc="DDC20AA2">
      <w:start w:val="1"/>
      <w:numFmt w:val="bullet"/>
      <w:lvlText w:val="–"/>
      <w:lvlJc w:val="left"/>
      <w:pPr>
        <w:tabs>
          <w:tab w:val="num" w:pos="1440"/>
        </w:tabs>
        <w:ind w:left="1440" w:hanging="360"/>
      </w:pPr>
      <w:rPr>
        <w:rFonts w:ascii="Times New Roman" w:hAnsi="Times New Roman" w:hint="default"/>
      </w:rPr>
    </w:lvl>
    <w:lvl w:ilvl="2" w:tplc="3210137C" w:tentative="1">
      <w:start w:val="1"/>
      <w:numFmt w:val="bullet"/>
      <w:lvlText w:val="–"/>
      <w:lvlJc w:val="left"/>
      <w:pPr>
        <w:tabs>
          <w:tab w:val="num" w:pos="2160"/>
        </w:tabs>
        <w:ind w:left="2160" w:hanging="360"/>
      </w:pPr>
      <w:rPr>
        <w:rFonts w:ascii="Times New Roman" w:hAnsi="Times New Roman" w:hint="default"/>
      </w:rPr>
    </w:lvl>
    <w:lvl w:ilvl="3" w:tplc="B888F0E6" w:tentative="1">
      <w:start w:val="1"/>
      <w:numFmt w:val="bullet"/>
      <w:lvlText w:val="–"/>
      <w:lvlJc w:val="left"/>
      <w:pPr>
        <w:tabs>
          <w:tab w:val="num" w:pos="2880"/>
        </w:tabs>
        <w:ind w:left="2880" w:hanging="360"/>
      </w:pPr>
      <w:rPr>
        <w:rFonts w:ascii="Times New Roman" w:hAnsi="Times New Roman" w:hint="default"/>
      </w:rPr>
    </w:lvl>
    <w:lvl w:ilvl="4" w:tplc="4274CE88" w:tentative="1">
      <w:start w:val="1"/>
      <w:numFmt w:val="bullet"/>
      <w:lvlText w:val="–"/>
      <w:lvlJc w:val="left"/>
      <w:pPr>
        <w:tabs>
          <w:tab w:val="num" w:pos="3600"/>
        </w:tabs>
        <w:ind w:left="3600" w:hanging="360"/>
      </w:pPr>
      <w:rPr>
        <w:rFonts w:ascii="Times New Roman" w:hAnsi="Times New Roman" w:hint="default"/>
      </w:rPr>
    </w:lvl>
    <w:lvl w:ilvl="5" w:tplc="B78E6740" w:tentative="1">
      <w:start w:val="1"/>
      <w:numFmt w:val="bullet"/>
      <w:lvlText w:val="–"/>
      <w:lvlJc w:val="left"/>
      <w:pPr>
        <w:tabs>
          <w:tab w:val="num" w:pos="4320"/>
        </w:tabs>
        <w:ind w:left="4320" w:hanging="360"/>
      </w:pPr>
      <w:rPr>
        <w:rFonts w:ascii="Times New Roman" w:hAnsi="Times New Roman" w:hint="default"/>
      </w:rPr>
    </w:lvl>
    <w:lvl w:ilvl="6" w:tplc="7332B50E" w:tentative="1">
      <w:start w:val="1"/>
      <w:numFmt w:val="bullet"/>
      <w:lvlText w:val="–"/>
      <w:lvlJc w:val="left"/>
      <w:pPr>
        <w:tabs>
          <w:tab w:val="num" w:pos="5040"/>
        </w:tabs>
        <w:ind w:left="5040" w:hanging="360"/>
      </w:pPr>
      <w:rPr>
        <w:rFonts w:ascii="Times New Roman" w:hAnsi="Times New Roman" w:hint="default"/>
      </w:rPr>
    </w:lvl>
    <w:lvl w:ilvl="7" w:tplc="8292B8E2" w:tentative="1">
      <w:start w:val="1"/>
      <w:numFmt w:val="bullet"/>
      <w:lvlText w:val="–"/>
      <w:lvlJc w:val="left"/>
      <w:pPr>
        <w:tabs>
          <w:tab w:val="num" w:pos="5760"/>
        </w:tabs>
        <w:ind w:left="5760" w:hanging="360"/>
      </w:pPr>
      <w:rPr>
        <w:rFonts w:ascii="Times New Roman" w:hAnsi="Times New Roman" w:hint="default"/>
      </w:rPr>
    </w:lvl>
    <w:lvl w:ilvl="8" w:tplc="411ADB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0">
    <w:nsid w:val="434A3667"/>
    <w:multiLevelType w:val="hybridMultilevel"/>
    <w:tmpl w:val="0EA2E29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4A4F09C3"/>
    <w:multiLevelType w:val="hybridMultilevel"/>
    <w:tmpl w:val="569E73BA"/>
    <w:lvl w:ilvl="0" w:tplc="4B8A4164">
      <w:start w:val="1"/>
      <w:numFmt w:val="bullet"/>
      <w:lvlText w:val="•"/>
      <w:lvlJc w:val="left"/>
      <w:pPr>
        <w:tabs>
          <w:tab w:val="num" w:pos="720"/>
        </w:tabs>
        <w:ind w:left="720" w:hanging="360"/>
      </w:pPr>
      <w:rPr>
        <w:rFonts w:ascii="Times New Roman" w:hAnsi="Times New Roman" w:hint="default"/>
      </w:rPr>
    </w:lvl>
    <w:lvl w:ilvl="1" w:tplc="0F7A3AB2" w:tentative="1">
      <w:start w:val="1"/>
      <w:numFmt w:val="bullet"/>
      <w:lvlText w:val="•"/>
      <w:lvlJc w:val="left"/>
      <w:pPr>
        <w:tabs>
          <w:tab w:val="num" w:pos="1440"/>
        </w:tabs>
        <w:ind w:left="1440" w:hanging="360"/>
      </w:pPr>
      <w:rPr>
        <w:rFonts w:ascii="Times New Roman" w:hAnsi="Times New Roman" w:hint="default"/>
      </w:rPr>
    </w:lvl>
    <w:lvl w:ilvl="2" w:tplc="1B805A72" w:tentative="1">
      <w:start w:val="1"/>
      <w:numFmt w:val="bullet"/>
      <w:lvlText w:val="•"/>
      <w:lvlJc w:val="left"/>
      <w:pPr>
        <w:tabs>
          <w:tab w:val="num" w:pos="2160"/>
        </w:tabs>
        <w:ind w:left="2160" w:hanging="360"/>
      </w:pPr>
      <w:rPr>
        <w:rFonts w:ascii="Times New Roman" w:hAnsi="Times New Roman" w:hint="default"/>
      </w:rPr>
    </w:lvl>
    <w:lvl w:ilvl="3" w:tplc="5DBC4BF8" w:tentative="1">
      <w:start w:val="1"/>
      <w:numFmt w:val="bullet"/>
      <w:lvlText w:val="•"/>
      <w:lvlJc w:val="left"/>
      <w:pPr>
        <w:tabs>
          <w:tab w:val="num" w:pos="2880"/>
        </w:tabs>
        <w:ind w:left="2880" w:hanging="360"/>
      </w:pPr>
      <w:rPr>
        <w:rFonts w:ascii="Times New Roman" w:hAnsi="Times New Roman" w:hint="default"/>
      </w:rPr>
    </w:lvl>
    <w:lvl w:ilvl="4" w:tplc="00C49E64" w:tentative="1">
      <w:start w:val="1"/>
      <w:numFmt w:val="bullet"/>
      <w:lvlText w:val="•"/>
      <w:lvlJc w:val="left"/>
      <w:pPr>
        <w:tabs>
          <w:tab w:val="num" w:pos="3600"/>
        </w:tabs>
        <w:ind w:left="3600" w:hanging="360"/>
      </w:pPr>
      <w:rPr>
        <w:rFonts w:ascii="Times New Roman" w:hAnsi="Times New Roman" w:hint="default"/>
      </w:rPr>
    </w:lvl>
    <w:lvl w:ilvl="5" w:tplc="E1868EDE" w:tentative="1">
      <w:start w:val="1"/>
      <w:numFmt w:val="bullet"/>
      <w:lvlText w:val="•"/>
      <w:lvlJc w:val="left"/>
      <w:pPr>
        <w:tabs>
          <w:tab w:val="num" w:pos="4320"/>
        </w:tabs>
        <w:ind w:left="4320" w:hanging="360"/>
      </w:pPr>
      <w:rPr>
        <w:rFonts w:ascii="Times New Roman" w:hAnsi="Times New Roman" w:hint="default"/>
      </w:rPr>
    </w:lvl>
    <w:lvl w:ilvl="6" w:tplc="815E6446" w:tentative="1">
      <w:start w:val="1"/>
      <w:numFmt w:val="bullet"/>
      <w:lvlText w:val="•"/>
      <w:lvlJc w:val="left"/>
      <w:pPr>
        <w:tabs>
          <w:tab w:val="num" w:pos="5040"/>
        </w:tabs>
        <w:ind w:left="5040" w:hanging="360"/>
      </w:pPr>
      <w:rPr>
        <w:rFonts w:ascii="Times New Roman" w:hAnsi="Times New Roman" w:hint="default"/>
      </w:rPr>
    </w:lvl>
    <w:lvl w:ilvl="7" w:tplc="590C7E8A" w:tentative="1">
      <w:start w:val="1"/>
      <w:numFmt w:val="bullet"/>
      <w:lvlText w:val="•"/>
      <w:lvlJc w:val="left"/>
      <w:pPr>
        <w:tabs>
          <w:tab w:val="num" w:pos="5760"/>
        </w:tabs>
        <w:ind w:left="5760" w:hanging="360"/>
      </w:pPr>
      <w:rPr>
        <w:rFonts w:ascii="Times New Roman" w:hAnsi="Times New Roman" w:hint="default"/>
      </w:rPr>
    </w:lvl>
    <w:lvl w:ilvl="8" w:tplc="195C65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B45298"/>
    <w:multiLevelType w:val="hybridMultilevel"/>
    <w:tmpl w:val="9FE22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A501EB"/>
    <w:multiLevelType w:val="hybridMultilevel"/>
    <w:tmpl w:val="61626C02"/>
    <w:lvl w:ilvl="0" w:tplc="CC4AAF64">
      <w:start w:val="1"/>
      <w:numFmt w:val="bullet"/>
      <w:lvlText w:val="-"/>
      <w:lvlJc w:val="left"/>
      <w:pPr>
        <w:ind w:left="720" w:hanging="360"/>
      </w:pPr>
      <w:rPr>
        <w:rFonts w:ascii="Times New Roman" w:eastAsia="Times New Roman" w:hAnsi="Times New Roman" w:cs="Times New Roman"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4444D3"/>
    <w:multiLevelType w:val="hybridMultilevel"/>
    <w:tmpl w:val="D3B68D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9224EF"/>
    <w:multiLevelType w:val="hybridMultilevel"/>
    <w:tmpl w:val="49AA5232"/>
    <w:lvl w:ilvl="0" w:tplc="E2D83D7A">
      <w:start w:val="1"/>
      <w:numFmt w:val="bullet"/>
      <w:lvlText w:val="–"/>
      <w:lvlJc w:val="left"/>
      <w:pPr>
        <w:tabs>
          <w:tab w:val="num" w:pos="720"/>
        </w:tabs>
        <w:ind w:left="720" w:hanging="360"/>
      </w:pPr>
      <w:rPr>
        <w:rFonts w:ascii="Times New Roman" w:hAnsi="Times New Roman" w:hint="default"/>
      </w:rPr>
    </w:lvl>
    <w:lvl w:ilvl="1" w:tplc="DBEC67EA">
      <w:start w:val="1"/>
      <w:numFmt w:val="bullet"/>
      <w:lvlText w:val="–"/>
      <w:lvlJc w:val="left"/>
      <w:pPr>
        <w:tabs>
          <w:tab w:val="num" w:pos="1440"/>
        </w:tabs>
        <w:ind w:left="1440" w:hanging="360"/>
      </w:pPr>
      <w:rPr>
        <w:rFonts w:ascii="Times New Roman" w:hAnsi="Times New Roman" w:hint="default"/>
      </w:rPr>
    </w:lvl>
    <w:lvl w:ilvl="2" w:tplc="F4E0B71A" w:tentative="1">
      <w:start w:val="1"/>
      <w:numFmt w:val="bullet"/>
      <w:lvlText w:val="–"/>
      <w:lvlJc w:val="left"/>
      <w:pPr>
        <w:tabs>
          <w:tab w:val="num" w:pos="2160"/>
        </w:tabs>
        <w:ind w:left="2160" w:hanging="360"/>
      </w:pPr>
      <w:rPr>
        <w:rFonts w:ascii="Times New Roman" w:hAnsi="Times New Roman" w:hint="default"/>
      </w:rPr>
    </w:lvl>
    <w:lvl w:ilvl="3" w:tplc="0DE213B8" w:tentative="1">
      <w:start w:val="1"/>
      <w:numFmt w:val="bullet"/>
      <w:lvlText w:val="–"/>
      <w:lvlJc w:val="left"/>
      <w:pPr>
        <w:tabs>
          <w:tab w:val="num" w:pos="2880"/>
        </w:tabs>
        <w:ind w:left="2880" w:hanging="360"/>
      </w:pPr>
      <w:rPr>
        <w:rFonts w:ascii="Times New Roman" w:hAnsi="Times New Roman" w:hint="default"/>
      </w:rPr>
    </w:lvl>
    <w:lvl w:ilvl="4" w:tplc="F8AC75DC" w:tentative="1">
      <w:start w:val="1"/>
      <w:numFmt w:val="bullet"/>
      <w:lvlText w:val="–"/>
      <w:lvlJc w:val="left"/>
      <w:pPr>
        <w:tabs>
          <w:tab w:val="num" w:pos="3600"/>
        </w:tabs>
        <w:ind w:left="3600" w:hanging="360"/>
      </w:pPr>
      <w:rPr>
        <w:rFonts w:ascii="Times New Roman" w:hAnsi="Times New Roman" w:hint="default"/>
      </w:rPr>
    </w:lvl>
    <w:lvl w:ilvl="5" w:tplc="19369AD4" w:tentative="1">
      <w:start w:val="1"/>
      <w:numFmt w:val="bullet"/>
      <w:lvlText w:val="–"/>
      <w:lvlJc w:val="left"/>
      <w:pPr>
        <w:tabs>
          <w:tab w:val="num" w:pos="4320"/>
        </w:tabs>
        <w:ind w:left="4320" w:hanging="360"/>
      </w:pPr>
      <w:rPr>
        <w:rFonts w:ascii="Times New Roman" w:hAnsi="Times New Roman" w:hint="default"/>
      </w:rPr>
    </w:lvl>
    <w:lvl w:ilvl="6" w:tplc="1CDA5F0C" w:tentative="1">
      <w:start w:val="1"/>
      <w:numFmt w:val="bullet"/>
      <w:lvlText w:val="–"/>
      <w:lvlJc w:val="left"/>
      <w:pPr>
        <w:tabs>
          <w:tab w:val="num" w:pos="5040"/>
        </w:tabs>
        <w:ind w:left="5040" w:hanging="360"/>
      </w:pPr>
      <w:rPr>
        <w:rFonts w:ascii="Times New Roman" w:hAnsi="Times New Roman" w:hint="default"/>
      </w:rPr>
    </w:lvl>
    <w:lvl w:ilvl="7" w:tplc="BA9440E4" w:tentative="1">
      <w:start w:val="1"/>
      <w:numFmt w:val="bullet"/>
      <w:lvlText w:val="–"/>
      <w:lvlJc w:val="left"/>
      <w:pPr>
        <w:tabs>
          <w:tab w:val="num" w:pos="5760"/>
        </w:tabs>
        <w:ind w:left="5760" w:hanging="360"/>
      </w:pPr>
      <w:rPr>
        <w:rFonts w:ascii="Times New Roman" w:hAnsi="Times New Roman" w:hint="default"/>
      </w:rPr>
    </w:lvl>
    <w:lvl w:ilvl="8" w:tplc="BE4E53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794B82"/>
    <w:multiLevelType w:val="hybridMultilevel"/>
    <w:tmpl w:val="F6607F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nsid w:val="6B7C446A"/>
    <w:multiLevelType w:val="hybridMultilevel"/>
    <w:tmpl w:val="1214ECEA"/>
    <w:lvl w:ilvl="0" w:tplc="CC4AAF6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7C1D90"/>
    <w:multiLevelType w:val="hybridMultilevel"/>
    <w:tmpl w:val="498CE0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B87165"/>
    <w:multiLevelType w:val="hybridMultilevel"/>
    <w:tmpl w:val="E59C3A20"/>
    <w:lvl w:ilvl="0" w:tplc="D3BE9B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4D7CBE"/>
    <w:multiLevelType w:val="hybridMultilevel"/>
    <w:tmpl w:val="178A7F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2"/>
  </w:num>
  <w:num w:numId="7">
    <w:abstractNumId w:val="9"/>
  </w:num>
  <w:num w:numId="8">
    <w:abstractNumId w:val="5"/>
  </w:num>
  <w:num w:numId="9">
    <w:abstractNumId w:val="21"/>
  </w:num>
  <w:num w:numId="10">
    <w:abstractNumId w:val="16"/>
  </w:num>
  <w:num w:numId="11">
    <w:abstractNumId w:val="7"/>
  </w:num>
  <w:num w:numId="12">
    <w:abstractNumId w:val="19"/>
  </w:num>
  <w:num w:numId="13">
    <w:abstractNumId w:val="1"/>
  </w:num>
  <w:num w:numId="14">
    <w:abstractNumId w:val="14"/>
  </w:num>
  <w:num w:numId="15">
    <w:abstractNumId w:val="0"/>
  </w:num>
  <w:num w:numId="16">
    <w:abstractNumId w:val="18"/>
  </w:num>
  <w:num w:numId="17">
    <w:abstractNumId w:val="3"/>
  </w:num>
  <w:num w:numId="18">
    <w:abstractNumId w:val="10"/>
  </w:num>
  <w:num w:numId="19">
    <w:abstractNumId w:val="4"/>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3"/>
  </w:num>
  <w:num w:numId="31">
    <w:abstractNumId w:val="6"/>
  </w:num>
  <w:num w:numId="32">
    <w:abstractNumId w:val="11"/>
  </w:num>
  <w:num w:numId="33">
    <w:abstractNumId w:val="8"/>
  </w:num>
  <w:num w:numId="34">
    <w:abstractNumId w:val="15"/>
  </w:num>
  <w:num w:numId="35">
    <w:abstractNumId w:val="2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67A0"/>
    <w:rsid w:val="0000005E"/>
    <w:rsid w:val="00000178"/>
    <w:rsid w:val="00001EEB"/>
    <w:rsid w:val="000024E6"/>
    <w:rsid w:val="0000329D"/>
    <w:rsid w:val="000034F3"/>
    <w:rsid w:val="00003D78"/>
    <w:rsid w:val="00004117"/>
    <w:rsid w:val="000043AF"/>
    <w:rsid w:val="000045E6"/>
    <w:rsid w:val="0000575E"/>
    <w:rsid w:val="00005891"/>
    <w:rsid w:val="000058A2"/>
    <w:rsid w:val="00007B4A"/>
    <w:rsid w:val="000107E4"/>
    <w:rsid w:val="00011395"/>
    <w:rsid w:val="0001174B"/>
    <w:rsid w:val="00011FAA"/>
    <w:rsid w:val="000128D4"/>
    <w:rsid w:val="000134E4"/>
    <w:rsid w:val="00013FA5"/>
    <w:rsid w:val="00015EA3"/>
    <w:rsid w:val="000167C5"/>
    <w:rsid w:val="00016EF9"/>
    <w:rsid w:val="00017D3A"/>
    <w:rsid w:val="00020114"/>
    <w:rsid w:val="000208D8"/>
    <w:rsid w:val="00021503"/>
    <w:rsid w:val="00021878"/>
    <w:rsid w:val="00022373"/>
    <w:rsid w:val="00022F1C"/>
    <w:rsid w:val="000249AF"/>
    <w:rsid w:val="00024B46"/>
    <w:rsid w:val="000250F5"/>
    <w:rsid w:val="00025C57"/>
    <w:rsid w:val="00025CA9"/>
    <w:rsid w:val="00025F73"/>
    <w:rsid w:val="00026DA9"/>
    <w:rsid w:val="00027063"/>
    <w:rsid w:val="00027178"/>
    <w:rsid w:val="00027C53"/>
    <w:rsid w:val="00030D39"/>
    <w:rsid w:val="00033067"/>
    <w:rsid w:val="00033FC0"/>
    <w:rsid w:val="00035037"/>
    <w:rsid w:val="00042438"/>
    <w:rsid w:val="00042967"/>
    <w:rsid w:val="00043ED2"/>
    <w:rsid w:val="00044009"/>
    <w:rsid w:val="0004560A"/>
    <w:rsid w:val="0004634E"/>
    <w:rsid w:val="00047033"/>
    <w:rsid w:val="00047594"/>
    <w:rsid w:val="00047C5F"/>
    <w:rsid w:val="00047D50"/>
    <w:rsid w:val="000500DB"/>
    <w:rsid w:val="000530E0"/>
    <w:rsid w:val="0005317E"/>
    <w:rsid w:val="00053220"/>
    <w:rsid w:val="000544F2"/>
    <w:rsid w:val="000555C1"/>
    <w:rsid w:val="00055F5D"/>
    <w:rsid w:val="0005639B"/>
    <w:rsid w:val="00056B5E"/>
    <w:rsid w:val="000610BC"/>
    <w:rsid w:val="00061592"/>
    <w:rsid w:val="0006207A"/>
    <w:rsid w:val="000628BE"/>
    <w:rsid w:val="000630EE"/>
    <w:rsid w:val="0006447E"/>
    <w:rsid w:val="0006452F"/>
    <w:rsid w:val="00065782"/>
    <w:rsid w:val="00065E4A"/>
    <w:rsid w:val="00067293"/>
    <w:rsid w:val="000675DD"/>
    <w:rsid w:val="0006776D"/>
    <w:rsid w:val="000719CE"/>
    <w:rsid w:val="00071ADC"/>
    <w:rsid w:val="000726A2"/>
    <w:rsid w:val="0007369B"/>
    <w:rsid w:val="000740CC"/>
    <w:rsid w:val="00074872"/>
    <w:rsid w:val="00074AAA"/>
    <w:rsid w:val="00075788"/>
    <w:rsid w:val="00076D0A"/>
    <w:rsid w:val="0007745D"/>
    <w:rsid w:val="000814CF"/>
    <w:rsid w:val="00081AE1"/>
    <w:rsid w:val="00082B10"/>
    <w:rsid w:val="00082B7D"/>
    <w:rsid w:val="00082ED2"/>
    <w:rsid w:val="00083F28"/>
    <w:rsid w:val="0008460D"/>
    <w:rsid w:val="00084C76"/>
    <w:rsid w:val="00084EF9"/>
    <w:rsid w:val="00085D54"/>
    <w:rsid w:val="00085D74"/>
    <w:rsid w:val="0008610E"/>
    <w:rsid w:val="000867E4"/>
    <w:rsid w:val="00087301"/>
    <w:rsid w:val="00087EE9"/>
    <w:rsid w:val="000907CA"/>
    <w:rsid w:val="00090B2D"/>
    <w:rsid w:val="00091516"/>
    <w:rsid w:val="000916D3"/>
    <w:rsid w:val="0009174F"/>
    <w:rsid w:val="00091BDA"/>
    <w:rsid w:val="00092086"/>
    <w:rsid w:val="00093ACA"/>
    <w:rsid w:val="00093B45"/>
    <w:rsid w:val="00093F17"/>
    <w:rsid w:val="000952A2"/>
    <w:rsid w:val="0009581F"/>
    <w:rsid w:val="000966FC"/>
    <w:rsid w:val="000967AD"/>
    <w:rsid w:val="000A1076"/>
    <w:rsid w:val="000A11E8"/>
    <w:rsid w:val="000A252C"/>
    <w:rsid w:val="000A2B6C"/>
    <w:rsid w:val="000A3400"/>
    <w:rsid w:val="000A5117"/>
    <w:rsid w:val="000A7860"/>
    <w:rsid w:val="000A7BCD"/>
    <w:rsid w:val="000B0226"/>
    <w:rsid w:val="000B0370"/>
    <w:rsid w:val="000B10EB"/>
    <w:rsid w:val="000B153B"/>
    <w:rsid w:val="000B2CCB"/>
    <w:rsid w:val="000B2F13"/>
    <w:rsid w:val="000B44EA"/>
    <w:rsid w:val="000B48F5"/>
    <w:rsid w:val="000B4A17"/>
    <w:rsid w:val="000B6115"/>
    <w:rsid w:val="000B6419"/>
    <w:rsid w:val="000B647B"/>
    <w:rsid w:val="000B6F2A"/>
    <w:rsid w:val="000B70C5"/>
    <w:rsid w:val="000B78D9"/>
    <w:rsid w:val="000C1584"/>
    <w:rsid w:val="000C1AF8"/>
    <w:rsid w:val="000C2365"/>
    <w:rsid w:val="000C298E"/>
    <w:rsid w:val="000C2C92"/>
    <w:rsid w:val="000C3928"/>
    <w:rsid w:val="000C3E46"/>
    <w:rsid w:val="000C3E81"/>
    <w:rsid w:val="000C41F9"/>
    <w:rsid w:val="000C5405"/>
    <w:rsid w:val="000C56E7"/>
    <w:rsid w:val="000C578A"/>
    <w:rsid w:val="000C5DF7"/>
    <w:rsid w:val="000C62AC"/>
    <w:rsid w:val="000C6805"/>
    <w:rsid w:val="000C6B68"/>
    <w:rsid w:val="000C6DFA"/>
    <w:rsid w:val="000C71B9"/>
    <w:rsid w:val="000D0047"/>
    <w:rsid w:val="000D27A1"/>
    <w:rsid w:val="000D2F2D"/>
    <w:rsid w:val="000D31B2"/>
    <w:rsid w:val="000D3983"/>
    <w:rsid w:val="000D3B44"/>
    <w:rsid w:val="000D4365"/>
    <w:rsid w:val="000D4462"/>
    <w:rsid w:val="000D536E"/>
    <w:rsid w:val="000D54A3"/>
    <w:rsid w:val="000D5736"/>
    <w:rsid w:val="000D6B73"/>
    <w:rsid w:val="000E0594"/>
    <w:rsid w:val="000E066D"/>
    <w:rsid w:val="000E193E"/>
    <w:rsid w:val="000E20D0"/>
    <w:rsid w:val="000E34CE"/>
    <w:rsid w:val="000E3674"/>
    <w:rsid w:val="000E428B"/>
    <w:rsid w:val="000E4E88"/>
    <w:rsid w:val="000E517A"/>
    <w:rsid w:val="000E53C5"/>
    <w:rsid w:val="000E6056"/>
    <w:rsid w:val="000E6128"/>
    <w:rsid w:val="000E6B03"/>
    <w:rsid w:val="000E7141"/>
    <w:rsid w:val="000F116B"/>
    <w:rsid w:val="000F2B8B"/>
    <w:rsid w:val="000F2ED7"/>
    <w:rsid w:val="000F3C11"/>
    <w:rsid w:val="000F3D70"/>
    <w:rsid w:val="000F5E7F"/>
    <w:rsid w:val="000F64FF"/>
    <w:rsid w:val="000F751C"/>
    <w:rsid w:val="00100339"/>
    <w:rsid w:val="001015AB"/>
    <w:rsid w:val="00101A7F"/>
    <w:rsid w:val="00101F87"/>
    <w:rsid w:val="0010324E"/>
    <w:rsid w:val="00104D72"/>
    <w:rsid w:val="00106744"/>
    <w:rsid w:val="00107F2F"/>
    <w:rsid w:val="001105AF"/>
    <w:rsid w:val="001111E4"/>
    <w:rsid w:val="00111296"/>
    <w:rsid w:val="00112882"/>
    <w:rsid w:val="00113B6F"/>
    <w:rsid w:val="001141BB"/>
    <w:rsid w:val="00114838"/>
    <w:rsid w:val="00116715"/>
    <w:rsid w:val="001171F3"/>
    <w:rsid w:val="0012082F"/>
    <w:rsid w:val="00122B5F"/>
    <w:rsid w:val="001234A4"/>
    <w:rsid w:val="001239BE"/>
    <w:rsid w:val="001239FF"/>
    <w:rsid w:val="001243AD"/>
    <w:rsid w:val="00124B80"/>
    <w:rsid w:val="00124DD1"/>
    <w:rsid w:val="001265BB"/>
    <w:rsid w:val="0012683A"/>
    <w:rsid w:val="00126FAC"/>
    <w:rsid w:val="00127B72"/>
    <w:rsid w:val="00127D09"/>
    <w:rsid w:val="001303BF"/>
    <w:rsid w:val="00130A0A"/>
    <w:rsid w:val="00131DBB"/>
    <w:rsid w:val="00132080"/>
    <w:rsid w:val="00132085"/>
    <w:rsid w:val="00132812"/>
    <w:rsid w:val="001331A0"/>
    <w:rsid w:val="00133B1D"/>
    <w:rsid w:val="00134850"/>
    <w:rsid w:val="001350A9"/>
    <w:rsid w:val="00135F18"/>
    <w:rsid w:val="001377C0"/>
    <w:rsid w:val="001379CD"/>
    <w:rsid w:val="00147681"/>
    <w:rsid w:val="00150062"/>
    <w:rsid w:val="001503EA"/>
    <w:rsid w:val="0015063E"/>
    <w:rsid w:val="00150815"/>
    <w:rsid w:val="00150845"/>
    <w:rsid w:val="00151215"/>
    <w:rsid w:val="0015190A"/>
    <w:rsid w:val="00151A4B"/>
    <w:rsid w:val="00152380"/>
    <w:rsid w:val="00152A80"/>
    <w:rsid w:val="00152E4A"/>
    <w:rsid w:val="00153855"/>
    <w:rsid w:val="00153ADB"/>
    <w:rsid w:val="00155E11"/>
    <w:rsid w:val="00155E44"/>
    <w:rsid w:val="00155F3C"/>
    <w:rsid w:val="0015697C"/>
    <w:rsid w:val="00157062"/>
    <w:rsid w:val="00157D7D"/>
    <w:rsid w:val="001605C2"/>
    <w:rsid w:val="0016074A"/>
    <w:rsid w:val="00160768"/>
    <w:rsid w:val="0016133F"/>
    <w:rsid w:val="00162124"/>
    <w:rsid w:val="001638DD"/>
    <w:rsid w:val="001642DA"/>
    <w:rsid w:val="00165C5C"/>
    <w:rsid w:val="00166F6D"/>
    <w:rsid w:val="00167A62"/>
    <w:rsid w:val="00171758"/>
    <w:rsid w:val="00171CF2"/>
    <w:rsid w:val="00172585"/>
    <w:rsid w:val="00173D0E"/>
    <w:rsid w:val="00173E2F"/>
    <w:rsid w:val="00175628"/>
    <w:rsid w:val="00177769"/>
    <w:rsid w:val="00180548"/>
    <w:rsid w:val="00180614"/>
    <w:rsid w:val="00185FA5"/>
    <w:rsid w:val="001861A3"/>
    <w:rsid w:val="00186B24"/>
    <w:rsid w:val="00186C8A"/>
    <w:rsid w:val="00190527"/>
    <w:rsid w:val="001922E7"/>
    <w:rsid w:val="00192563"/>
    <w:rsid w:val="0019344D"/>
    <w:rsid w:val="001944AF"/>
    <w:rsid w:val="00194F85"/>
    <w:rsid w:val="00195C0A"/>
    <w:rsid w:val="00195E10"/>
    <w:rsid w:val="00196269"/>
    <w:rsid w:val="00196C6E"/>
    <w:rsid w:val="00196E6D"/>
    <w:rsid w:val="0019776D"/>
    <w:rsid w:val="001A1837"/>
    <w:rsid w:val="001A227A"/>
    <w:rsid w:val="001A28F4"/>
    <w:rsid w:val="001A2E27"/>
    <w:rsid w:val="001A2F8C"/>
    <w:rsid w:val="001A33CA"/>
    <w:rsid w:val="001A345C"/>
    <w:rsid w:val="001A3882"/>
    <w:rsid w:val="001A5285"/>
    <w:rsid w:val="001A5860"/>
    <w:rsid w:val="001A652D"/>
    <w:rsid w:val="001A77A3"/>
    <w:rsid w:val="001B0BAD"/>
    <w:rsid w:val="001B2CC5"/>
    <w:rsid w:val="001B31D6"/>
    <w:rsid w:val="001B4884"/>
    <w:rsid w:val="001B5604"/>
    <w:rsid w:val="001B7701"/>
    <w:rsid w:val="001B795C"/>
    <w:rsid w:val="001B7A42"/>
    <w:rsid w:val="001B7B00"/>
    <w:rsid w:val="001C1E7A"/>
    <w:rsid w:val="001C492E"/>
    <w:rsid w:val="001C5148"/>
    <w:rsid w:val="001C5DC3"/>
    <w:rsid w:val="001C6C29"/>
    <w:rsid w:val="001C760B"/>
    <w:rsid w:val="001D06CE"/>
    <w:rsid w:val="001D2AAF"/>
    <w:rsid w:val="001D2FCA"/>
    <w:rsid w:val="001D5052"/>
    <w:rsid w:val="001D56FC"/>
    <w:rsid w:val="001D60D7"/>
    <w:rsid w:val="001D6C1B"/>
    <w:rsid w:val="001E188F"/>
    <w:rsid w:val="001E3069"/>
    <w:rsid w:val="001E379F"/>
    <w:rsid w:val="001E45CE"/>
    <w:rsid w:val="001E4CD5"/>
    <w:rsid w:val="001E534A"/>
    <w:rsid w:val="001E579F"/>
    <w:rsid w:val="001E674C"/>
    <w:rsid w:val="001E6924"/>
    <w:rsid w:val="001E6ACA"/>
    <w:rsid w:val="001E6B1A"/>
    <w:rsid w:val="001E7816"/>
    <w:rsid w:val="001E7C7F"/>
    <w:rsid w:val="001F00B4"/>
    <w:rsid w:val="001F00FC"/>
    <w:rsid w:val="001F0430"/>
    <w:rsid w:val="001F0A74"/>
    <w:rsid w:val="001F1BA8"/>
    <w:rsid w:val="001F2B73"/>
    <w:rsid w:val="001F36DD"/>
    <w:rsid w:val="001F3A00"/>
    <w:rsid w:val="001F3BB8"/>
    <w:rsid w:val="001F3E06"/>
    <w:rsid w:val="001F3FA1"/>
    <w:rsid w:val="001F5189"/>
    <w:rsid w:val="001F6C86"/>
    <w:rsid w:val="0020057D"/>
    <w:rsid w:val="0020129F"/>
    <w:rsid w:val="0020175F"/>
    <w:rsid w:val="00201DC3"/>
    <w:rsid w:val="00202C07"/>
    <w:rsid w:val="00203175"/>
    <w:rsid w:val="002036D7"/>
    <w:rsid w:val="00204829"/>
    <w:rsid w:val="00204E10"/>
    <w:rsid w:val="00204F41"/>
    <w:rsid w:val="002055A6"/>
    <w:rsid w:val="00205932"/>
    <w:rsid w:val="00206F4B"/>
    <w:rsid w:val="00207522"/>
    <w:rsid w:val="002075A9"/>
    <w:rsid w:val="002102B6"/>
    <w:rsid w:val="00210656"/>
    <w:rsid w:val="00210F65"/>
    <w:rsid w:val="002111E0"/>
    <w:rsid w:val="00213B90"/>
    <w:rsid w:val="00214182"/>
    <w:rsid w:val="00214A2A"/>
    <w:rsid w:val="00215534"/>
    <w:rsid w:val="0021596B"/>
    <w:rsid w:val="002159AC"/>
    <w:rsid w:val="00217186"/>
    <w:rsid w:val="002205F2"/>
    <w:rsid w:val="002223EE"/>
    <w:rsid w:val="0022256D"/>
    <w:rsid w:val="00224123"/>
    <w:rsid w:val="002245C1"/>
    <w:rsid w:val="00224C1E"/>
    <w:rsid w:val="00225356"/>
    <w:rsid w:val="002254FE"/>
    <w:rsid w:val="00226205"/>
    <w:rsid w:val="00226219"/>
    <w:rsid w:val="00226D38"/>
    <w:rsid w:val="002279B1"/>
    <w:rsid w:val="00227A75"/>
    <w:rsid w:val="002302C3"/>
    <w:rsid w:val="00230813"/>
    <w:rsid w:val="002313DA"/>
    <w:rsid w:val="002318CA"/>
    <w:rsid w:val="00232A3F"/>
    <w:rsid w:val="00233F33"/>
    <w:rsid w:val="0023427B"/>
    <w:rsid w:val="00235B9F"/>
    <w:rsid w:val="002377CE"/>
    <w:rsid w:val="00237DDD"/>
    <w:rsid w:val="00240126"/>
    <w:rsid w:val="00240F88"/>
    <w:rsid w:val="0024139A"/>
    <w:rsid w:val="00241791"/>
    <w:rsid w:val="00243B76"/>
    <w:rsid w:val="00243E88"/>
    <w:rsid w:val="00246057"/>
    <w:rsid w:val="0024647D"/>
    <w:rsid w:val="00247485"/>
    <w:rsid w:val="00247C45"/>
    <w:rsid w:val="00250087"/>
    <w:rsid w:val="002501BC"/>
    <w:rsid w:val="00250320"/>
    <w:rsid w:val="0025083D"/>
    <w:rsid w:val="00250F40"/>
    <w:rsid w:val="00251B0F"/>
    <w:rsid w:val="00252DB1"/>
    <w:rsid w:val="00252DD8"/>
    <w:rsid w:val="00253240"/>
    <w:rsid w:val="00253DDD"/>
    <w:rsid w:val="0025425E"/>
    <w:rsid w:val="00255419"/>
    <w:rsid w:val="0025546F"/>
    <w:rsid w:val="00255F19"/>
    <w:rsid w:val="0025699E"/>
    <w:rsid w:val="00256C6F"/>
    <w:rsid w:val="00257311"/>
    <w:rsid w:val="00257E86"/>
    <w:rsid w:val="002609AD"/>
    <w:rsid w:val="0026191F"/>
    <w:rsid w:val="00265800"/>
    <w:rsid w:val="00265E9D"/>
    <w:rsid w:val="002660CD"/>
    <w:rsid w:val="00266AB3"/>
    <w:rsid w:val="00266FAD"/>
    <w:rsid w:val="00267311"/>
    <w:rsid w:val="00267912"/>
    <w:rsid w:val="002703C1"/>
    <w:rsid w:val="00271965"/>
    <w:rsid w:val="00271DBB"/>
    <w:rsid w:val="0027203D"/>
    <w:rsid w:val="00272877"/>
    <w:rsid w:val="00273432"/>
    <w:rsid w:val="00273610"/>
    <w:rsid w:val="00273E15"/>
    <w:rsid w:val="00274807"/>
    <w:rsid w:val="00274F35"/>
    <w:rsid w:val="00275711"/>
    <w:rsid w:val="00276157"/>
    <w:rsid w:val="00276EA9"/>
    <w:rsid w:val="002771FA"/>
    <w:rsid w:val="002778C5"/>
    <w:rsid w:val="00277DD5"/>
    <w:rsid w:val="0028057E"/>
    <w:rsid w:val="00280673"/>
    <w:rsid w:val="0028071C"/>
    <w:rsid w:val="002819BE"/>
    <w:rsid w:val="00282007"/>
    <w:rsid w:val="00282979"/>
    <w:rsid w:val="002840EC"/>
    <w:rsid w:val="00284E30"/>
    <w:rsid w:val="002853DD"/>
    <w:rsid w:val="00285685"/>
    <w:rsid w:val="00285ACE"/>
    <w:rsid w:val="00285F41"/>
    <w:rsid w:val="00286139"/>
    <w:rsid w:val="00287B5D"/>
    <w:rsid w:val="00287B91"/>
    <w:rsid w:val="00287DB3"/>
    <w:rsid w:val="002904FD"/>
    <w:rsid w:val="00290A79"/>
    <w:rsid w:val="00290F8C"/>
    <w:rsid w:val="0029182E"/>
    <w:rsid w:val="002919D1"/>
    <w:rsid w:val="00291E69"/>
    <w:rsid w:val="002933E1"/>
    <w:rsid w:val="002946F7"/>
    <w:rsid w:val="00296304"/>
    <w:rsid w:val="002A0A19"/>
    <w:rsid w:val="002A11DE"/>
    <w:rsid w:val="002A128D"/>
    <w:rsid w:val="002A1777"/>
    <w:rsid w:val="002A2714"/>
    <w:rsid w:val="002A41D8"/>
    <w:rsid w:val="002A70FE"/>
    <w:rsid w:val="002B00F6"/>
    <w:rsid w:val="002B0871"/>
    <w:rsid w:val="002B13DA"/>
    <w:rsid w:val="002B22A7"/>
    <w:rsid w:val="002B2E4F"/>
    <w:rsid w:val="002B3045"/>
    <w:rsid w:val="002B43D6"/>
    <w:rsid w:val="002B5A06"/>
    <w:rsid w:val="002B6649"/>
    <w:rsid w:val="002B6EE8"/>
    <w:rsid w:val="002C228F"/>
    <w:rsid w:val="002C265D"/>
    <w:rsid w:val="002C2730"/>
    <w:rsid w:val="002C2AA4"/>
    <w:rsid w:val="002C41F5"/>
    <w:rsid w:val="002C508F"/>
    <w:rsid w:val="002C5350"/>
    <w:rsid w:val="002C5B76"/>
    <w:rsid w:val="002C5EE2"/>
    <w:rsid w:val="002C6258"/>
    <w:rsid w:val="002C669B"/>
    <w:rsid w:val="002C7C07"/>
    <w:rsid w:val="002D0309"/>
    <w:rsid w:val="002D0BA0"/>
    <w:rsid w:val="002D17DC"/>
    <w:rsid w:val="002D1B4B"/>
    <w:rsid w:val="002D34C6"/>
    <w:rsid w:val="002D44D4"/>
    <w:rsid w:val="002D48A1"/>
    <w:rsid w:val="002E0E9E"/>
    <w:rsid w:val="002E1681"/>
    <w:rsid w:val="002E187F"/>
    <w:rsid w:val="002E2CD8"/>
    <w:rsid w:val="002E3505"/>
    <w:rsid w:val="002E4403"/>
    <w:rsid w:val="002E5401"/>
    <w:rsid w:val="002E5854"/>
    <w:rsid w:val="002E5A9D"/>
    <w:rsid w:val="002E5B5E"/>
    <w:rsid w:val="002E5D2B"/>
    <w:rsid w:val="002E5D85"/>
    <w:rsid w:val="002E692A"/>
    <w:rsid w:val="002E775F"/>
    <w:rsid w:val="002E7C43"/>
    <w:rsid w:val="002E7CD9"/>
    <w:rsid w:val="002F07CC"/>
    <w:rsid w:val="002F0B87"/>
    <w:rsid w:val="002F327E"/>
    <w:rsid w:val="00301C33"/>
    <w:rsid w:val="00302074"/>
    <w:rsid w:val="003024F1"/>
    <w:rsid w:val="00302F7E"/>
    <w:rsid w:val="003041C6"/>
    <w:rsid w:val="00304BE7"/>
    <w:rsid w:val="00305528"/>
    <w:rsid w:val="00305B18"/>
    <w:rsid w:val="00306842"/>
    <w:rsid w:val="00306C39"/>
    <w:rsid w:val="0031021E"/>
    <w:rsid w:val="0031178D"/>
    <w:rsid w:val="00311C65"/>
    <w:rsid w:val="003136FE"/>
    <w:rsid w:val="00314E27"/>
    <w:rsid w:val="00316D25"/>
    <w:rsid w:val="00316DFA"/>
    <w:rsid w:val="00321A3D"/>
    <w:rsid w:val="003222A9"/>
    <w:rsid w:val="003225DE"/>
    <w:rsid w:val="0032366B"/>
    <w:rsid w:val="003237DC"/>
    <w:rsid w:val="00324CE7"/>
    <w:rsid w:val="00324FEE"/>
    <w:rsid w:val="00326666"/>
    <w:rsid w:val="00326A3E"/>
    <w:rsid w:val="00326C8B"/>
    <w:rsid w:val="003306C1"/>
    <w:rsid w:val="00330D9A"/>
    <w:rsid w:val="003319DD"/>
    <w:rsid w:val="00332C29"/>
    <w:rsid w:val="00333003"/>
    <w:rsid w:val="00333225"/>
    <w:rsid w:val="00333790"/>
    <w:rsid w:val="0033614C"/>
    <w:rsid w:val="003364FF"/>
    <w:rsid w:val="0033666B"/>
    <w:rsid w:val="00337722"/>
    <w:rsid w:val="00337B8D"/>
    <w:rsid w:val="00337EBC"/>
    <w:rsid w:val="003411C6"/>
    <w:rsid w:val="00341AE2"/>
    <w:rsid w:val="003424B9"/>
    <w:rsid w:val="00342F60"/>
    <w:rsid w:val="003437B3"/>
    <w:rsid w:val="00343C7B"/>
    <w:rsid w:val="003442E8"/>
    <w:rsid w:val="0034556C"/>
    <w:rsid w:val="00346FBC"/>
    <w:rsid w:val="00347989"/>
    <w:rsid w:val="00351B8B"/>
    <w:rsid w:val="00354038"/>
    <w:rsid w:val="0035414A"/>
    <w:rsid w:val="00356620"/>
    <w:rsid w:val="00357589"/>
    <w:rsid w:val="003609BC"/>
    <w:rsid w:val="00361B69"/>
    <w:rsid w:val="00362115"/>
    <w:rsid w:val="00362612"/>
    <w:rsid w:val="00362FC7"/>
    <w:rsid w:val="00363712"/>
    <w:rsid w:val="003647D8"/>
    <w:rsid w:val="0036489D"/>
    <w:rsid w:val="00364D85"/>
    <w:rsid w:val="003674DF"/>
    <w:rsid w:val="0037011D"/>
    <w:rsid w:val="00371B44"/>
    <w:rsid w:val="00372510"/>
    <w:rsid w:val="00372C65"/>
    <w:rsid w:val="00372CAC"/>
    <w:rsid w:val="00374705"/>
    <w:rsid w:val="00374990"/>
    <w:rsid w:val="00375A19"/>
    <w:rsid w:val="0037660E"/>
    <w:rsid w:val="00376A11"/>
    <w:rsid w:val="00377056"/>
    <w:rsid w:val="003804D5"/>
    <w:rsid w:val="00381246"/>
    <w:rsid w:val="00381D72"/>
    <w:rsid w:val="00381F37"/>
    <w:rsid w:val="0038449A"/>
    <w:rsid w:val="003865D6"/>
    <w:rsid w:val="00387787"/>
    <w:rsid w:val="003909A2"/>
    <w:rsid w:val="00391571"/>
    <w:rsid w:val="00391B50"/>
    <w:rsid w:val="003922C2"/>
    <w:rsid w:val="0039381D"/>
    <w:rsid w:val="00393941"/>
    <w:rsid w:val="00394A85"/>
    <w:rsid w:val="00394C67"/>
    <w:rsid w:val="00394E7F"/>
    <w:rsid w:val="00395C07"/>
    <w:rsid w:val="003961D8"/>
    <w:rsid w:val="0039647B"/>
    <w:rsid w:val="00396549"/>
    <w:rsid w:val="00397315"/>
    <w:rsid w:val="003974C7"/>
    <w:rsid w:val="003A16C8"/>
    <w:rsid w:val="003A1CF9"/>
    <w:rsid w:val="003A1EA2"/>
    <w:rsid w:val="003A2409"/>
    <w:rsid w:val="003A24AC"/>
    <w:rsid w:val="003A33BE"/>
    <w:rsid w:val="003A3E6E"/>
    <w:rsid w:val="003A4415"/>
    <w:rsid w:val="003A519C"/>
    <w:rsid w:val="003A5C83"/>
    <w:rsid w:val="003A69E4"/>
    <w:rsid w:val="003A7C12"/>
    <w:rsid w:val="003B0242"/>
    <w:rsid w:val="003B203D"/>
    <w:rsid w:val="003B2F26"/>
    <w:rsid w:val="003B3505"/>
    <w:rsid w:val="003B4991"/>
    <w:rsid w:val="003B729F"/>
    <w:rsid w:val="003B7CC2"/>
    <w:rsid w:val="003C088F"/>
    <w:rsid w:val="003C1589"/>
    <w:rsid w:val="003C20FA"/>
    <w:rsid w:val="003C2729"/>
    <w:rsid w:val="003C410A"/>
    <w:rsid w:val="003C5CBF"/>
    <w:rsid w:val="003C668F"/>
    <w:rsid w:val="003D0F5D"/>
    <w:rsid w:val="003D1FF5"/>
    <w:rsid w:val="003D2BC8"/>
    <w:rsid w:val="003D31C5"/>
    <w:rsid w:val="003D3A2B"/>
    <w:rsid w:val="003E0469"/>
    <w:rsid w:val="003E0765"/>
    <w:rsid w:val="003E077B"/>
    <w:rsid w:val="003E193B"/>
    <w:rsid w:val="003E1E0E"/>
    <w:rsid w:val="003E392D"/>
    <w:rsid w:val="003E42C8"/>
    <w:rsid w:val="003E4C92"/>
    <w:rsid w:val="003E663A"/>
    <w:rsid w:val="003E74C8"/>
    <w:rsid w:val="003E7CBB"/>
    <w:rsid w:val="003F037D"/>
    <w:rsid w:val="003F03B9"/>
    <w:rsid w:val="003F0B50"/>
    <w:rsid w:val="003F1B16"/>
    <w:rsid w:val="003F217E"/>
    <w:rsid w:val="003F2FE5"/>
    <w:rsid w:val="003F31F0"/>
    <w:rsid w:val="003F35FF"/>
    <w:rsid w:val="003F4333"/>
    <w:rsid w:val="003F4CD4"/>
    <w:rsid w:val="003F4D0A"/>
    <w:rsid w:val="003F652F"/>
    <w:rsid w:val="003F7ECD"/>
    <w:rsid w:val="00400A17"/>
    <w:rsid w:val="00400AAE"/>
    <w:rsid w:val="00400D89"/>
    <w:rsid w:val="00400DF0"/>
    <w:rsid w:val="00400F1A"/>
    <w:rsid w:val="004025BA"/>
    <w:rsid w:val="00403B27"/>
    <w:rsid w:val="00403B77"/>
    <w:rsid w:val="00404E7C"/>
    <w:rsid w:val="0040560B"/>
    <w:rsid w:val="004072D4"/>
    <w:rsid w:val="00407A7A"/>
    <w:rsid w:val="00407C1A"/>
    <w:rsid w:val="00407DE9"/>
    <w:rsid w:val="004104AE"/>
    <w:rsid w:val="0041198D"/>
    <w:rsid w:val="0041225F"/>
    <w:rsid w:val="004135A3"/>
    <w:rsid w:val="00415177"/>
    <w:rsid w:val="00415612"/>
    <w:rsid w:val="00415756"/>
    <w:rsid w:val="00415F15"/>
    <w:rsid w:val="00416FAB"/>
    <w:rsid w:val="00417A09"/>
    <w:rsid w:val="00417A98"/>
    <w:rsid w:val="004208E0"/>
    <w:rsid w:val="00421FC8"/>
    <w:rsid w:val="0042362A"/>
    <w:rsid w:val="004241D3"/>
    <w:rsid w:val="0042479F"/>
    <w:rsid w:val="00425E37"/>
    <w:rsid w:val="00427498"/>
    <w:rsid w:val="00427B2F"/>
    <w:rsid w:val="0043111A"/>
    <w:rsid w:val="004312D5"/>
    <w:rsid w:val="0043350C"/>
    <w:rsid w:val="004341BD"/>
    <w:rsid w:val="00434DE6"/>
    <w:rsid w:val="004356A9"/>
    <w:rsid w:val="0044060C"/>
    <w:rsid w:val="00440995"/>
    <w:rsid w:val="00440A55"/>
    <w:rsid w:val="004411BE"/>
    <w:rsid w:val="004424AB"/>
    <w:rsid w:val="00444244"/>
    <w:rsid w:val="00444B17"/>
    <w:rsid w:val="0044576A"/>
    <w:rsid w:val="0044648F"/>
    <w:rsid w:val="00447167"/>
    <w:rsid w:val="00447231"/>
    <w:rsid w:val="004517D0"/>
    <w:rsid w:val="0045277A"/>
    <w:rsid w:val="00453EE8"/>
    <w:rsid w:val="004557CB"/>
    <w:rsid w:val="00456000"/>
    <w:rsid w:val="004575A9"/>
    <w:rsid w:val="004601AF"/>
    <w:rsid w:val="00461041"/>
    <w:rsid w:val="00461531"/>
    <w:rsid w:val="00461852"/>
    <w:rsid w:val="00464A99"/>
    <w:rsid w:val="00464D0A"/>
    <w:rsid w:val="00465410"/>
    <w:rsid w:val="0046578A"/>
    <w:rsid w:val="004664B4"/>
    <w:rsid w:val="00466F5A"/>
    <w:rsid w:val="004675A7"/>
    <w:rsid w:val="00467B2C"/>
    <w:rsid w:val="004700AF"/>
    <w:rsid w:val="00470710"/>
    <w:rsid w:val="00470EC5"/>
    <w:rsid w:val="0047147B"/>
    <w:rsid w:val="004722A1"/>
    <w:rsid w:val="004727D4"/>
    <w:rsid w:val="00472B99"/>
    <w:rsid w:val="0047413A"/>
    <w:rsid w:val="00475ACE"/>
    <w:rsid w:val="004765A0"/>
    <w:rsid w:val="00480001"/>
    <w:rsid w:val="00480681"/>
    <w:rsid w:val="00480DB6"/>
    <w:rsid w:val="004816A5"/>
    <w:rsid w:val="00482E2D"/>
    <w:rsid w:val="00482FE2"/>
    <w:rsid w:val="004846EA"/>
    <w:rsid w:val="00484807"/>
    <w:rsid w:val="00484BB1"/>
    <w:rsid w:val="004851EB"/>
    <w:rsid w:val="00486AD5"/>
    <w:rsid w:val="00487658"/>
    <w:rsid w:val="00490608"/>
    <w:rsid w:val="00490C7B"/>
    <w:rsid w:val="00493F34"/>
    <w:rsid w:val="00495843"/>
    <w:rsid w:val="004963D9"/>
    <w:rsid w:val="004967A0"/>
    <w:rsid w:val="0049767D"/>
    <w:rsid w:val="004A0416"/>
    <w:rsid w:val="004A048C"/>
    <w:rsid w:val="004A0C2E"/>
    <w:rsid w:val="004A0E44"/>
    <w:rsid w:val="004A2583"/>
    <w:rsid w:val="004A2FF4"/>
    <w:rsid w:val="004A33A7"/>
    <w:rsid w:val="004A3401"/>
    <w:rsid w:val="004A4B08"/>
    <w:rsid w:val="004A4BF2"/>
    <w:rsid w:val="004A4FEA"/>
    <w:rsid w:val="004A5AFD"/>
    <w:rsid w:val="004A5B89"/>
    <w:rsid w:val="004A61EF"/>
    <w:rsid w:val="004A69DD"/>
    <w:rsid w:val="004A761A"/>
    <w:rsid w:val="004A7D9E"/>
    <w:rsid w:val="004B09A1"/>
    <w:rsid w:val="004B1300"/>
    <w:rsid w:val="004B1560"/>
    <w:rsid w:val="004B6E7B"/>
    <w:rsid w:val="004B71F5"/>
    <w:rsid w:val="004C1A86"/>
    <w:rsid w:val="004C1E53"/>
    <w:rsid w:val="004C1F6B"/>
    <w:rsid w:val="004C2AAA"/>
    <w:rsid w:val="004C6741"/>
    <w:rsid w:val="004C6A5F"/>
    <w:rsid w:val="004C7AAA"/>
    <w:rsid w:val="004C7C5F"/>
    <w:rsid w:val="004D0588"/>
    <w:rsid w:val="004D17E7"/>
    <w:rsid w:val="004D20AC"/>
    <w:rsid w:val="004D20FA"/>
    <w:rsid w:val="004D357D"/>
    <w:rsid w:val="004D4975"/>
    <w:rsid w:val="004D5C64"/>
    <w:rsid w:val="004D6DF5"/>
    <w:rsid w:val="004E01D3"/>
    <w:rsid w:val="004E1961"/>
    <w:rsid w:val="004E267E"/>
    <w:rsid w:val="004E4706"/>
    <w:rsid w:val="004E4891"/>
    <w:rsid w:val="004E4B96"/>
    <w:rsid w:val="004E4C2D"/>
    <w:rsid w:val="004E5DA5"/>
    <w:rsid w:val="004E7225"/>
    <w:rsid w:val="004E7800"/>
    <w:rsid w:val="004E7861"/>
    <w:rsid w:val="004E7929"/>
    <w:rsid w:val="004F3F14"/>
    <w:rsid w:val="004F409D"/>
    <w:rsid w:val="004F45EC"/>
    <w:rsid w:val="004F5858"/>
    <w:rsid w:val="004F5CD2"/>
    <w:rsid w:val="004F61D5"/>
    <w:rsid w:val="004F6C08"/>
    <w:rsid w:val="004F7542"/>
    <w:rsid w:val="004F7FAD"/>
    <w:rsid w:val="00500118"/>
    <w:rsid w:val="00500723"/>
    <w:rsid w:val="0050072D"/>
    <w:rsid w:val="005025CB"/>
    <w:rsid w:val="00503679"/>
    <w:rsid w:val="00503844"/>
    <w:rsid w:val="00503F22"/>
    <w:rsid w:val="00503F2E"/>
    <w:rsid w:val="00504B63"/>
    <w:rsid w:val="00505FC5"/>
    <w:rsid w:val="005064E0"/>
    <w:rsid w:val="00506733"/>
    <w:rsid w:val="00507368"/>
    <w:rsid w:val="0050784E"/>
    <w:rsid w:val="00510019"/>
    <w:rsid w:val="005104F6"/>
    <w:rsid w:val="00510F43"/>
    <w:rsid w:val="005110E4"/>
    <w:rsid w:val="0051391F"/>
    <w:rsid w:val="00513FD6"/>
    <w:rsid w:val="005140D2"/>
    <w:rsid w:val="00514102"/>
    <w:rsid w:val="00515417"/>
    <w:rsid w:val="00515DEA"/>
    <w:rsid w:val="005161E4"/>
    <w:rsid w:val="00520354"/>
    <w:rsid w:val="0052251F"/>
    <w:rsid w:val="00522DF4"/>
    <w:rsid w:val="0052602E"/>
    <w:rsid w:val="00527203"/>
    <w:rsid w:val="00530199"/>
    <w:rsid w:val="00530C87"/>
    <w:rsid w:val="005314F6"/>
    <w:rsid w:val="00532141"/>
    <w:rsid w:val="005337E3"/>
    <w:rsid w:val="00535DAD"/>
    <w:rsid w:val="00536014"/>
    <w:rsid w:val="00536CCC"/>
    <w:rsid w:val="00542648"/>
    <w:rsid w:val="00543537"/>
    <w:rsid w:val="00543EAB"/>
    <w:rsid w:val="0054432F"/>
    <w:rsid w:val="0054528B"/>
    <w:rsid w:val="00545F12"/>
    <w:rsid w:val="0054718E"/>
    <w:rsid w:val="00551304"/>
    <w:rsid w:val="005517A2"/>
    <w:rsid w:val="00551E12"/>
    <w:rsid w:val="005520C1"/>
    <w:rsid w:val="00554636"/>
    <w:rsid w:val="00554786"/>
    <w:rsid w:val="00555C50"/>
    <w:rsid w:val="005569E6"/>
    <w:rsid w:val="00561419"/>
    <w:rsid w:val="005620E9"/>
    <w:rsid w:val="00562225"/>
    <w:rsid w:val="00562556"/>
    <w:rsid w:val="0056366A"/>
    <w:rsid w:val="00564BC1"/>
    <w:rsid w:val="00565CD6"/>
    <w:rsid w:val="00570906"/>
    <w:rsid w:val="00570DB6"/>
    <w:rsid w:val="00571121"/>
    <w:rsid w:val="00572E67"/>
    <w:rsid w:val="00573972"/>
    <w:rsid w:val="00574D2D"/>
    <w:rsid w:val="0057596D"/>
    <w:rsid w:val="00576392"/>
    <w:rsid w:val="0057649D"/>
    <w:rsid w:val="00576FD3"/>
    <w:rsid w:val="00577168"/>
    <w:rsid w:val="005803A0"/>
    <w:rsid w:val="00580B48"/>
    <w:rsid w:val="00583D14"/>
    <w:rsid w:val="00584977"/>
    <w:rsid w:val="00584ED2"/>
    <w:rsid w:val="005859D6"/>
    <w:rsid w:val="0058645F"/>
    <w:rsid w:val="005872C7"/>
    <w:rsid w:val="00587309"/>
    <w:rsid w:val="00587565"/>
    <w:rsid w:val="0058784E"/>
    <w:rsid w:val="0058799B"/>
    <w:rsid w:val="00587BF7"/>
    <w:rsid w:val="00590471"/>
    <w:rsid w:val="00590A71"/>
    <w:rsid w:val="00590B75"/>
    <w:rsid w:val="00590EE7"/>
    <w:rsid w:val="00591C9C"/>
    <w:rsid w:val="00591DEE"/>
    <w:rsid w:val="00592D49"/>
    <w:rsid w:val="0059478F"/>
    <w:rsid w:val="00594791"/>
    <w:rsid w:val="0059532B"/>
    <w:rsid w:val="0059709E"/>
    <w:rsid w:val="00597406"/>
    <w:rsid w:val="005A0B31"/>
    <w:rsid w:val="005A0C4C"/>
    <w:rsid w:val="005A1A56"/>
    <w:rsid w:val="005A29B0"/>
    <w:rsid w:val="005A33ED"/>
    <w:rsid w:val="005A3B72"/>
    <w:rsid w:val="005A3F40"/>
    <w:rsid w:val="005A5E3B"/>
    <w:rsid w:val="005A61BF"/>
    <w:rsid w:val="005A6384"/>
    <w:rsid w:val="005B04C3"/>
    <w:rsid w:val="005B1D23"/>
    <w:rsid w:val="005B2024"/>
    <w:rsid w:val="005B2CD8"/>
    <w:rsid w:val="005B2DAE"/>
    <w:rsid w:val="005B466D"/>
    <w:rsid w:val="005B5BB9"/>
    <w:rsid w:val="005B6E1B"/>
    <w:rsid w:val="005B7D70"/>
    <w:rsid w:val="005C0616"/>
    <w:rsid w:val="005C0BDF"/>
    <w:rsid w:val="005C186E"/>
    <w:rsid w:val="005C39FA"/>
    <w:rsid w:val="005C4404"/>
    <w:rsid w:val="005C4B80"/>
    <w:rsid w:val="005C60AA"/>
    <w:rsid w:val="005C6871"/>
    <w:rsid w:val="005C6B89"/>
    <w:rsid w:val="005D2AE9"/>
    <w:rsid w:val="005D32F7"/>
    <w:rsid w:val="005D36F1"/>
    <w:rsid w:val="005D3EA1"/>
    <w:rsid w:val="005D469D"/>
    <w:rsid w:val="005D4B84"/>
    <w:rsid w:val="005D6BA2"/>
    <w:rsid w:val="005D6C44"/>
    <w:rsid w:val="005D713E"/>
    <w:rsid w:val="005D75CF"/>
    <w:rsid w:val="005E017A"/>
    <w:rsid w:val="005E358C"/>
    <w:rsid w:val="005E3D7B"/>
    <w:rsid w:val="005E47E3"/>
    <w:rsid w:val="005E5593"/>
    <w:rsid w:val="005E5B39"/>
    <w:rsid w:val="005E74F0"/>
    <w:rsid w:val="005E7709"/>
    <w:rsid w:val="005E7CA4"/>
    <w:rsid w:val="005F0281"/>
    <w:rsid w:val="005F0D14"/>
    <w:rsid w:val="005F142C"/>
    <w:rsid w:val="005F19EA"/>
    <w:rsid w:val="005F257F"/>
    <w:rsid w:val="005F2627"/>
    <w:rsid w:val="005F281D"/>
    <w:rsid w:val="005F3CF8"/>
    <w:rsid w:val="005F42A6"/>
    <w:rsid w:val="005F496E"/>
    <w:rsid w:val="005F5609"/>
    <w:rsid w:val="005F578E"/>
    <w:rsid w:val="00600725"/>
    <w:rsid w:val="00601FCE"/>
    <w:rsid w:val="006023DB"/>
    <w:rsid w:val="0060284D"/>
    <w:rsid w:val="00603535"/>
    <w:rsid w:val="006053D7"/>
    <w:rsid w:val="006056C9"/>
    <w:rsid w:val="00605B48"/>
    <w:rsid w:val="00606532"/>
    <w:rsid w:val="0060687A"/>
    <w:rsid w:val="00606C57"/>
    <w:rsid w:val="00610A8D"/>
    <w:rsid w:val="00610C75"/>
    <w:rsid w:val="00610D47"/>
    <w:rsid w:val="006119BC"/>
    <w:rsid w:val="00611E32"/>
    <w:rsid w:val="0061247F"/>
    <w:rsid w:val="00612933"/>
    <w:rsid w:val="00613A0D"/>
    <w:rsid w:val="00613C94"/>
    <w:rsid w:val="006152B7"/>
    <w:rsid w:val="00615E8F"/>
    <w:rsid w:val="00616872"/>
    <w:rsid w:val="00616AEC"/>
    <w:rsid w:val="00616FAC"/>
    <w:rsid w:val="006175E4"/>
    <w:rsid w:val="00617F0C"/>
    <w:rsid w:val="006202A8"/>
    <w:rsid w:val="00620836"/>
    <w:rsid w:val="00624AB2"/>
    <w:rsid w:val="00624D5F"/>
    <w:rsid w:val="006263CD"/>
    <w:rsid w:val="006271C5"/>
    <w:rsid w:val="00627370"/>
    <w:rsid w:val="00627591"/>
    <w:rsid w:val="00627EC6"/>
    <w:rsid w:val="00631245"/>
    <w:rsid w:val="00632BD8"/>
    <w:rsid w:val="00632FD3"/>
    <w:rsid w:val="00635625"/>
    <w:rsid w:val="006362F1"/>
    <w:rsid w:val="00640D6E"/>
    <w:rsid w:val="00641079"/>
    <w:rsid w:val="006435FA"/>
    <w:rsid w:val="00643641"/>
    <w:rsid w:val="00644080"/>
    <w:rsid w:val="00644CD0"/>
    <w:rsid w:val="00646259"/>
    <w:rsid w:val="00646EFE"/>
    <w:rsid w:val="00646FFD"/>
    <w:rsid w:val="0065088F"/>
    <w:rsid w:val="00653027"/>
    <w:rsid w:val="0065385F"/>
    <w:rsid w:val="00654B92"/>
    <w:rsid w:val="00655D80"/>
    <w:rsid w:val="00656A48"/>
    <w:rsid w:val="00656DBA"/>
    <w:rsid w:val="00657580"/>
    <w:rsid w:val="00657FEC"/>
    <w:rsid w:val="00660AAF"/>
    <w:rsid w:val="00660D93"/>
    <w:rsid w:val="006620D7"/>
    <w:rsid w:val="00662B20"/>
    <w:rsid w:val="006635B5"/>
    <w:rsid w:val="006659A2"/>
    <w:rsid w:val="0066636E"/>
    <w:rsid w:val="00671075"/>
    <w:rsid w:val="0067170D"/>
    <w:rsid w:val="0067419C"/>
    <w:rsid w:val="00674257"/>
    <w:rsid w:val="00674DDA"/>
    <w:rsid w:val="00677E50"/>
    <w:rsid w:val="00677FF1"/>
    <w:rsid w:val="006807B8"/>
    <w:rsid w:val="0068083A"/>
    <w:rsid w:val="006814DF"/>
    <w:rsid w:val="00681AAC"/>
    <w:rsid w:val="0068205B"/>
    <w:rsid w:val="00682245"/>
    <w:rsid w:val="00683551"/>
    <w:rsid w:val="006847DC"/>
    <w:rsid w:val="00684B5D"/>
    <w:rsid w:val="006852C1"/>
    <w:rsid w:val="0068631E"/>
    <w:rsid w:val="006863BC"/>
    <w:rsid w:val="00686A3E"/>
    <w:rsid w:val="00686D8B"/>
    <w:rsid w:val="006878C3"/>
    <w:rsid w:val="0069047A"/>
    <w:rsid w:val="00692B76"/>
    <w:rsid w:val="0069508A"/>
    <w:rsid w:val="006968C0"/>
    <w:rsid w:val="006A08C2"/>
    <w:rsid w:val="006A10CA"/>
    <w:rsid w:val="006A1568"/>
    <w:rsid w:val="006A39A7"/>
    <w:rsid w:val="006A3ECD"/>
    <w:rsid w:val="006A4276"/>
    <w:rsid w:val="006A51F8"/>
    <w:rsid w:val="006A58E9"/>
    <w:rsid w:val="006A6FD6"/>
    <w:rsid w:val="006A7045"/>
    <w:rsid w:val="006A76BF"/>
    <w:rsid w:val="006A7A7C"/>
    <w:rsid w:val="006B0182"/>
    <w:rsid w:val="006B17AF"/>
    <w:rsid w:val="006B1E6D"/>
    <w:rsid w:val="006B1EF7"/>
    <w:rsid w:val="006B206A"/>
    <w:rsid w:val="006B2927"/>
    <w:rsid w:val="006B34CB"/>
    <w:rsid w:val="006B4D6A"/>
    <w:rsid w:val="006B557A"/>
    <w:rsid w:val="006B6D8C"/>
    <w:rsid w:val="006B6DEB"/>
    <w:rsid w:val="006B710E"/>
    <w:rsid w:val="006B79C7"/>
    <w:rsid w:val="006C01E9"/>
    <w:rsid w:val="006C029F"/>
    <w:rsid w:val="006C05F8"/>
    <w:rsid w:val="006C216B"/>
    <w:rsid w:val="006C2E22"/>
    <w:rsid w:val="006C4096"/>
    <w:rsid w:val="006C4996"/>
    <w:rsid w:val="006C59D0"/>
    <w:rsid w:val="006C5B77"/>
    <w:rsid w:val="006C7364"/>
    <w:rsid w:val="006C7B72"/>
    <w:rsid w:val="006D12CA"/>
    <w:rsid w:val="006D25D1"/>
    <w:rsid w:val="006D2B83"/>
    <w:rsid w:val="006D2DD1"/>
    <w:rsid w:val="006D3907"/>
    <w:rsid w:val="006D3F3C"/>
    <w:rsid w:val="006D4D10"/>
    <w:rsid w:val="006D7367"/>
    <w:rsid w:val="006E0402"/>
    <w:rsid w:val="006E075C"/>
    <w:rsid w:val="006E0EC6"/>
    <w:rsid w:val="006E1435"/>
    <w:rsid w:val="006E14ED"/>
    <w:rsid w:val="006E1677"/>
    <w:rsid w:val="006E199B"/>
    <w:rsid w:val="006E2040"/>
    <w:rsid w:val="006E26CD"/>
    <w:rsid w:val="006E3373"/>
    <w:rsid w:val="006E4FAF"/>
    <w:rsid w:val="006E5E52"/>
    <w:rsid w:val="006E691E"/>
    <w:rsid w:val="006E7706"/>
    <w:rsid w:val="006E794E"/>
    <w:rsid w:val="006E7E23"/>
    <w:rsid w:val="006F00D5"/>
    <w:rsid w:val="006F1827"/>
    <w:rsid w:val="006F2043"/>
    <w:rsid w:val="006F2839"/>
    <w:rsid w:val="006F2E19"/>
    <w:rsid w:val="006F3FE1"/>
    <w:rsid w:val="006F50FA"/>
    <w:rsid w:val="006F5742"/>
    <w:rsid w:val="006F5D41"/>
    <w:rsid w:val="006F6764"/>
    <w:rsid w:val="00701001"/>
    <w:rsid w:val="00701258"/>
    <w:rsid w:val="007016E2"/>
    <w:rsid w:val="00701ED1"/>
    <w:rsid w:val="00703D88"/>
    <w:rsid w:val="00704270"/>
    <w:rsid w:val="00705954"/>
    <w:rsid w:val="00705C15"/>
    <w:rsid w:val="0070685F"/>
    <w:rsid w:val="0071031D"/>
    <w:rsid w:val="007105EC"/>
    <w:rsid w:val="00710944"/>
    <w:rsid w:val="00711A1D"/>
    <w:rsid w:val="007155BE"/>
    <w:rsid w:val="00715748"/>
    <w:rsid w:val="00717589"/>
    <w:rsid w:val="00721157"/>
    <w:rsid w:val="00721746"/>
    <w:rsid w:val="00721BF3"/>
    <w:rsid w:val="0072249F"/>
    <w:rsid w:val="007233A0"/>
    <w:rsid w:val="00723FC6"/>
    <w:rsid w:val="00724544"/>
    <w:rsid w:val="00724FAF"/>
    <w:rsid w:val="00725C19"/>
    <w:rsid w:val="00727297"/>
    <w:rsid w:val="007274B3"/>
    <w:rsid w:val="00730CC1"/>
    <w:rsid w:val="00731AE8"/>
    <w:rsid w:val="00732860"/>
    <w:rsid w:val="00733437"/>
    <w:rsid w:val="007350FC"/>
    <w:rsid w:val="00735313"/>
    <w:rsid w:val="007360C3"/>
    <w:rsid w:val="00737BDF"/>
    <w:rsid w:val="0074236F"/>
    <w:rsid w:val="0074269D"/>
    <w:rsid w:val="00742F6D"/>
    <w:rsid w:val="00743511"/>
    <w:rsid w:val="00744688"/>
    <w:rsid w:val="00744E07"/>
    <w:rsid w:val="00745D42"/>
    <w:rsid w:val="007479EE"/>
    <w:rsid w:val="00747AC2"/>
    <w:rsid w:val="0075128F"/>
    <w:rsid w:val="00751611"/>
    <w:rsid w:val="00751D48"/>
    <w:rsid w:val="00752DFB"/>
    <w:rsid w:val="007555D2"/>
    <w:rsid w:val="00755E9E"/>
    <w:rsid w:val="007564B3"/>
    <w:rsid w:val="00757447"/>
    <w:rsid w:val="00757662"/>
    <w:rsid w:val="007579C7"/>
    <w:rsid w:val="00760570"/>
    <w:rsid w:val="00761B8A"/>
    <w:rsid w:val="007623E5"/>
    <w:rsid w:val="007626AA"/>
    <w:rsid w:val="00762C50"/>
    <w:rsid w:val="007635C1"/>
    <w:rsid w:val="0076413C"/>
    <w:rsid w:val="00764C25"/>
    <w:rsid w:val="007662E7"/>
    <w:rsid w:val="007663BD"/>
    <w:rsid w:val="007665AC"/>
    <w:rsid w:val="00766A9F"/>
    <w:rsid w:val="00770939"/>
    <w:rsid w:val="007712C0"/>
    <w:rsid w:val="0077173A"/>
    <w:rsid w:val="00771CBF"/>
    <w:rsid w:val="007720FC"/>
    <w:rsid w:val="0077234D"/>
    <w:rsid w:val="00772F6F"/>
    <w:rsid w:val="007736F2"/>
    <w:rsid w:val="00775558"/>
    <w:rsid w:val="0077560F"/>
    <w:rsid w:val="00775E4F"/>
    <w:rsid w:val="00777E66"/>
    <w:rsid w:val="007804D1"/>
    <w:rsid w:val="00781BDA"/>
    <w:rsid w:val="00781EDE"/>
    <w:rsid w:val="00782C79"/>
    <w:rsid w:val="007836AD"/>
    <w:rsid w:val="00784147"/>
    <w:rsid w:val="00784519"/>
    <w:rsid w:val="00784B8A"/>
    <w:rsid w:val="0078501D"/>
    <w:rsid w:val="0078559C"/>
    <w:rsid w:val="00787119"/>
    <w:rsid w:val="0078714F"/>
    <w:rsid w:val="00787177"/>
    <w:rsid w:val="007877A5"/>
    <w:rsid w:val="00787D5E"/>
    <w:rsid w:val="00791529"/>
    <w:rsid w:val="00791D32"/>
    <w:rsid w:val="007920E9"/>
    <w:rsid w:val="00792583"/>
    <w:rsid w:val="0079272D"/>
    <w:rsid w:val="00792F2D"/>
    <w:rsid w:val="00793212"/>
    <w:rsid w:val="007932A6"/>
    <w:rsid w:val="00793476"/>
    <w:rsid w:val="00793D29"/>
    <w:rsid w:val="0079541C"/>
    <w:rsid w:val="00795CE6"/>
    <w:rsid w:val="007A0836"/>
    <w:rsid w:val="007A0D48"/>
    <w:rsid w:val="007A15AF"/>
    <w:rsid w:val="007A4130"/>
    <w:rsid w:val="007A48A6"/>
    <w:rsid w:val="007A4AD9"/>
    <w:rsid w:val="007A5791"/>
    <w:rsid w:val="007A597F"/>
    <w:rsid w:val="007A5A2E"/>
    <w:rsid w:val="007A6413"/>
    <w:rsid w:val="007A7923"/>
    <w:rsid w:val="007A7CD4"/>
    <w:rsid w:val="007B1494"/>
    <w:rsid w:val="007B2810"/>
    <w:rsid w:val="007B2FC6"/>
    <w:rsid w:val="007B384F"/>
    <w:rsid w:val="007B3D9F"/>
    <w:rsid w:val="007B6678"/>
    <w:rsid w:val="007C023F"/>
    <w:rsid w:val="007C1473"/>
    <w:rsid w:val="007C15DD"/>
    <w:rsid w:val="007C2066"/>
    <w:rsid w:val="007C2536"/>
    <w:rsid w:val="007C2CBB"/>
    <w:rsid w:val="007C46C3"/>
    <w:rsid w:val="007C4C50"/>
    <w:rsid w:val="007C6409"/>
    <w:rsid w:val="007C6CDE"/>
    <w:rsid w:val="007C7A13"/>
    <w:rsid w:val="007D0779"/>
    <w:rsid w:val="007D1A0E"/>
    <w:rsid w:val="007D4B68"/>
    <w:rsid w:val="007D4DFF"/>
    <w:rsid w:val="007D570C"/>
    <w:rsid w:val="007D6024"/>
    <w:rsid w:val="007D6159"/>
    <w:rsid w:val="007E1071"/>
    <w:rsid w:val="007E20FE"/>
    <w:rsid w:val="007E4313"/>
    <w:rsid w:val="007E55B6"/>
    <w:rsid w:val="007E6B7A"/>
    <w:rsid w:val="007E6BE1"/>
    <w:rsid w:val="007E6D56"/>
    <w:rsid w:val="007E75C5"/>
    <w:rsid w:val="007F08F7"/>
    <w:rsid w:val="007F0EA2"/>
    <w:rsid w:val="007F1C03"/>
    <w:rsid w:val="007F1EE2"/>
    <w:rsid w:val="007F1F98"/>
    <w:rsid w:val="007F2770"/>
    <w:rsid w:val="007F3C78"/>
    <w:rsid w:val="007F49CA"/>
    <w:rsid w:val="007F4B59"/>
    <w:rsid w:val="007F6214"/>
    <w:rsid w:val="007F675C"/>
    <w:rsid w:val="007F7F10"/>
    <w:rsid w:val="00800618"/>
    <w:rsid w:val="00800BD8"/>
    <w:rsid w:val="00800DE3"/>
    <w:rsid w:val="00800F8A"/>
    <w:rsid w:val="008029E3"/>
    <w:rsid w:val="00802F7B"/>
    <w:rsid w:val="0080439D"/>
    <w:rsid w:val="0080484D"/>
    <w:rsid w:val="00804A06"/>
    <w:rsid w:val="00804C80"/>
    <w:rsid w:val="0080562F"/>
    <w:rsid w:val="00805DDD"/>
    <w:rsid w:val="0080626D"/>
    <w:rsid w:val="00806904"/>
    <w:rsid w:val="00807A6B"/>
    <w:rsid w:val="00812A98"/>
    <w:rsid w:val="008132D0"/>
    <w:rsid w:val="00814FE7"/>
    <w:rsid w:val="00815520"/>
    <w:rsid w:val="00815A9F"/>
    <w:rsid w:val="00816C64"/>
    <w:rsid w:val="00817235"/>
    <w:rsid w:val="0081751D"/>
    <w:rsid w:val="00820337"/>
    <w:rsid w:val="008210B6"/>
    <w:rsid w:val="008216C5"/>
    <w:rsid w:val="00821A99"/>
    <w:rsid w:val="00821CFF"/>
    <w:rsid w:val="008222C3"/>
    <w:rsid w:val="00822EC9"/>
    <w:rsid w:val="008232BC"/>
    <w:rsid w:val="008236E9"/>
    <w:rsid w:val="00824201"/>
    <w:rsid w:val="008262AA"/>
    <w:rsid w:val="008264E1"/>
    <w:rsid w:val="008268C9"/>
    <w:rsid w:val="00826CBD"/>
    <w:rsid w:val="0082740D"/>
    <w:rsid w:val="00827F18"/>
    <w:rsid w:val="008301F0"/>
    <w:rsid w:val="00830843"/>
    <w:rsid w:val="00830AFC"/>
    <w:rsid w:val="008325BA"/>
    <w:rsid w:val="00832795"/>
    <w:rsid w:val="008327B1"/>
    <w:rsid w:val="00833E19"/>
    <w:rsid w:val="008362C5"/>
    <w:rsid w:val="0083637F"/>
    <w:rsid w:val="00836456"/>
    <w:rsid w:val="008366E7"/>
    <w:rsid w:val="00836790"/>
    <w:rsid w:val="00836F0F"/>
    <w:rsid w:val="00837D07"/>
    <w:rsid w:val="008405AB"/>
    <w:rsid w:val="008410EC"/>
    <w:rsid w:val="00842BC1"/>
    <w:rsid w:val="00842D0F"/>
    <w:rsid w:val="008461C7"/>
    <w:rsid w:val="00846823"/>
    <w:rsid w:val="00846FD2"/>
    <w:rsid w:val="008518CB"/>
    <w:rsid w:val="0085216D"/>
    <w:rsid w:val="00852BC3"/>
    <w:rsid w:val="00854820"/>
    <w:rsid w:val="00854BE7"/>
    <w:rsid w:val="00855242"/>
    <w:rsid w:val="00855572"/>
    <w:rsid w:val="00855AE6"/>
    <w:rsid w:val="00857555"/>
    <w:rsid w:val="00860279"/>
    <w:rsid w:val="00861068"/>
    <w:rsid w:val="00861170"/>
    <w:rsid w:val="00861634"/>
    <w:rsid w:val="0086169E"/>
    <w:rsid w:val="00862712"/>
    <w:rsid w:val="00864823"/>
    <w:rsid w:val="00864893"/>
    <w:rsid w:val="008649CB"/>
    <w:rsid w:val="008666BA"/>
    <w:rsid w:val="008675EE"/>
    <w:rsid w:val="00871A60"/>
    <w:rsid w:val="00871A8F"/>
    <w:rsid w:val="00871B99"/>
    <w:rsid w:val="008722F0"/>
    <w:rsid w:val="00873884"/>
    <w:rsid w:val="00874CDE"/>
    <w:rsid w:val="00876787"/>
    <w:rsid w:val="00877086"/>
    <w:rsid w:val="008779D2"/>
    <w:rsid w:val="00880CAA"/>
    <w:rsid w:val="00880F9F"/>
    <w:rsid w:val="008812EF"/>
    <w:rsid w:val="008820AB"/>
    <w:rsid w:val="00884C70"/>
    <w:rsid w:val="00885076"/>
    <w:rsid w:val="008858FB"/>
    <w:rsid w:val="00887B43"/>
    <w:rsid w:val="008920DC"/>
    <w:rsid w:val="00893770"/>
    <w:rsid w:val="00893845"/>
    <w:rsid w:val="0089476D"/>
    <w:rsid w:val="00895DD5"/>
    <w:rsid w:val="0089672E"/>
    <w:rsid w:val="00897EB0"/>
    <w:rsid w:val="008A1C11"/>
    <w:rsid w:val="008A27E1"/>
    <w:rsid w:val="008A40F9"/>
    <w:rsid w:val="008A47AC"/>
    <w:rsid w:val="008A50AB"/>
    <w:rsid w:val="008A516F"/>
    <w:rsid w:val="008A60F2"/>
    <w:rsid w:val="008A7373"/>
    <w:rsid w:val="008A7864"/>
    <w:rsid w:val="008B1C9E"/>
    <w:rsid w:val="008B24FD"/>
    <w:rsid w:val="008B41C0"/>
    <w:rsid w:val="008B4E91"/>
    <w:rsid w:val="008B73CD"/>
    <w:rsid w:val="008B7D12"/>
    <w:rsid w:val="008C1352"/>
    <w:rsid w:val="008C14C5"/>
    <w:rsid w:val="008C1E6A"/>
    <w:rsid w:val="008C200A"/>
    <w:rsid w:val="008C2B1E"/>
    <w:rsid w:val="008C6652"/>
    <w:rsid w:val="008C71A3"/>
    <w:rsid w:val="008C7758"/>
    <w:rsid w:val="008C7DA2"/>
    <w:rsid w:val="008D108D"/>
    <w:rsid w:val="008D20BE"/>
    <w:rsid w:val="008D26FB"/>
    <w:rsid w:val="008D47C2"/>
    <w:rsid w:val="008D5346"/>
    <w:rsid w:val="008D5681"/>
    <w:rsid w:val="008D5AA2"/>
    <w:rsid w:val="008D7342"/>
    <w:rsid w:val="008E04B1"/>
    <w:rsid w:val="008E04F1"/>
    <w:rsid w:val="008E2EE6"/>
    <w:rsid w:val="008E3A56"/>
    <w:rsid w:val="008E65DB"/>
    <w:rsid w:val="008E6BC7"/>
    <w:rsid w:val="008F0836"/>
    <w:rsid w:val="008F1014"/>
    <w:rsid w:val="008F11B8"/>
    <w:rsid w:val="008F319A"/>
    <w:rsid w:val="008F349B"/>
    <w:rsid w:val="008F5760"/>
    <w:rsid w:val="008F7441"/>
    <w:rsid w:val="00900367"/>
    <w:rsid w:val="009017CA"/>
    <w:rsid w:val="009022C0"/>
    <w:rsid w:val="00902454"/>
    <w:rsid w:val="0090363A"/>
    <w:rsid w:val="009039AF"/>
    <w:rsid w:val="00904051"/>
    <w:rsid w:val="00905355"/>
    <w:rsid w:val="0090580F"/>
    <w:rsid w:val="00905A05"/>
    <w:rsid w:val="00906A0D"/>
    <w:rsid w:val="0090741B"/>
    <w:rsid w:val="00910728"/>
    <w:rsid w:val="00910FD9"/>
    <w:rsid w:val="00911D16"/>
    <w:rsid w:val="009120A0"/>
    <w:rsid w:val="00913A70"/>
    <w:rsid w:val="00914BAA"/>
    <w:rsid w:val="0091532C"/>
    <w:rsid w:val="0091552A"/>
    <w:rsid w:val="00915685"/>
    <w:rsid w:val="0091663E"/>
    <w:rsid w:val="00917056"/>
    <w:rsid w:val="00917B23"/>
    <w:rsid w:val="00920378"/>
    <w:rsid w:val="00920D03"/>
    <w:rsid w:val="0092227C"/>
    <w:rsid w:val="00924025"/>
    <w:rsid w:val="00924C45"/>
    <w:rsid w:val="00925C1A"/>
    <w:rsid w:val="00925D75"/>
    <w:rsid w:val="00926454"/>
    <w:rsid w:val="009273C3"/>
    <w:rsid w:val="00936056"/>
    <w:rsid w:val="00936633"/>
    <w:rsid w:val="00937AA5"/>
    <w:rsid w:val="00937AB3"/>
    <w:rsid w:val="00940462"/>
    <w:rsid w:val="009407C1"/>
    <w:rsid w:val="00941F86"/>
    <w:rsid w:val="0094277F"/>
    <w:rsid w:val="00943D5D"/>
    <w:rsid w:val="00944547"/>
    <w:rsid w:val="00947922"/>
    <w:rsid w:val="009504A3"/>
    <w:rsid w:val="00950583"/>
    <w:rsid w:val="00950FA1"/>
    <w:rsid w:val="00951BC2"/>
    <w:rsid w:val="00951CA0"/>
    <w:rsid w:val="009534B6"/>
    <w:rsid w:val="00953B34"/>
    <w:rsid w:val="009545D7"/>
    <w:rsid w:val="0095770B"/>
    <w:rsid w:val="00960511"/>
    <w:rsid w:val="00961180"/>
    <w:rsid w:val="00962061"/>
    <w:rsid w:val="00962B71"/>
    <w:rsid w:val="00962D05"/>
    <w:rsid w:val="00963C18"/>
    <w:rsid w:val="00964D3F"/>
    <w:rsid w:val="00964D5C"/>
    <w:rsid w:val="009669EE"/>
    <w:rsid w:val="0097012D"/>
    <w:rsid w:val="009702B1"/>
    <w:rsid w:val="00970B9E"/>
    <w:rsid w:val="00972226"/>
    <w:rsid w:val="0097253A"/>
    <w:rsid w:val="00973046"/>
    <w:rsid w:val="00974C2A"/>
    <w:rsid w:val="00974DDF"/>
    <w:rsid w:val="0097613B"/>
    <w:rsid w:val="009761E1"/>
    <w:rsid w:val="00976812"/>
    <w:rsid w:val="00977E29"/>
    <w:rsid w:val="009802E1"/>
    <w:rsid w:val="009804DA"/>
    <w:rsid w:val="00980CFF"/>
    <w:rsid w:val="00982B97"/>
    <w:rsid w:val="0098338F"/>
    <w:rsid w:val="00983561"/>
    <w:rsid w:val="00983A7F"/>
    <w:rsid w:val="00983CFD"/>
    <w:rsid w:val="00985AAC"/>
    <w:rsid w:val="009863F0"/>
    <w:rsid w:val="00987054"/>
    <w:rsid w:val="00987557"/>
    <w:rsid w:val="00990B3A"/>
    <w:rsid w:val="009919FF"/>
    <w:rsid w:val="00992831"/>
    <w:rsid w:val="009938B2"/>
    <w:rsid w:val="00995806"/>
    <w:rsid w:val="0099607A"/>
    <w:rsid w:val="00996D15"/>
    <w:rsid w:val="009A06E3"/>
    <w:rsid w:val="009A11ED"/>
    <w:rsid w:val="009A2100"/>
    <w:rsid w:val="009A2BC3"/>
    <w:rsid w:val="009A3084"/>
    <w:rsid w:val="009A3221"/>
    <w:rsid w:val="009A4236"/>
    <w:rsid w:val="009A472B"/>
    <w:rsid w:val="009A717E"/>
    <w:rsid w:val="009A7A6B"/>
    <w:rsid w:val="009A7DCB"/>
    <w:rsid w:val="009B0D86"/>
    <w:rsid w:val="009B1834"/>
    <w:rsid w:val="009B1E09"/>
    <w:rsid w:val="009B25FC"/>
    <w:rsid w:val="009B29FA"/>
    <w:rsid w:val="009B3B67"/>
    <w:rsid w:val="009B6E2F"/>
    <w:rsid w:val="009B7FFB"/>
    <w:rsid w:val="009C0E39"/>
    <w:rsid w:val="009C1708"/>
    <w:rsid w:val="009C1A09"/>
    <w:rsid w:val="009C314E"/>
    <w:rsid w:val="009C32A7"/>
    <w:rsid w:val="009C3673"/>
    <w:rsid w:val="009C37B0"/>
    <w:rsid w:val="009C6385"/>
    <w:rsid w:val="009C6677"/>
    <w:rsid w:val="009C6932"/>
    <w:rsid w:val="009C7063"/>
    <w:rsid w:val="009C71A9"/>
    <w:rsid w:val="009C75B1"/>
    <w:rsid w:val="009C7A41"/>
    <w:rsid w:val="009C7A8F"/>
    <w:rsid w:val="009C7B2C"/>
    <w:rsid w:val="009D0F1D"/>
    <w:rsid w:val="009D24DD"/>
    <w:rsid w:val="009D274D"/>
    <w:rsid w:val="009D27AD"/>
    <w:rsid w:val="009D2F68"/>
    <w:rsid w:val="009D38B3"/>
    <w:rsid w:val="009D48EA"/>
    <w:rsid w:val="009D4DB3"/>
    <w:rsid w:val="009D5498"/>
    <w:rsid w:val="009D74C6"/>
    <w:rsid w:val="009D7666"/>
    <w:rsid w:val="009E02FD"/>
    <w:rsid w:val="009E040E"/>
    <w:rsid w:val="009E1893"/>
    <w:rsid w:val="009E1ABE"/>
    <w:rsid w:val="009E1CCE"/>
    <w:rsid w:val="009E228C"/>
    <w:rsid w:val="009E26E1"/>
    <w:rsid w:val="009E29C9"/>
    <w:rsid w:val="009E394D"/>
    <w:rsid w:val="009E492A"/>
    <w:rsid w:val="009E4C8C"/>
    <w:rsid w:val="009E6B0A"/>
    <w:rsid w:val="009E799D"/>
    <w:rsid w:val="009F0A95"/>
    <w:rsid w:val="009F12D9"/>
    <w:rsid w:val="009F2135"/>
    <w:rsid w:val="009F2CFA"/>
    <w:rsid w:val="009F2EB7"/>
    <w:rsid w:val="009F332C"/>
    <w:rsid w:val="009F371E"/>
    <w:rsid w:val="009F4FAD"/>
    <w:rsid w:val="009F58A2"/>
    <w:rsid w:val="009F6D14"/>
    <w:rsid w:val="00A00825"/>
    <w:rsid w:val="00A00B72"/>
    <w:rsid w:val="00A02575"/>
    <w:rsid w:val="00A02FEF"/>
    <w:rsid w:val="00A03BA6"/>
    <w:rsid w:val="00A062C2"/>
    <w:rsid w:val="00A12839"/>
    <w:rsid w:val="00A12ABC"/>
    <w:rsid w:val="00A13734"/>
    <w:rsid w:val="00A149AF"/>
    <w:rsid w:val="00A14EC3"/>
    <w:rsid w:val="00A1520D"/>
    <w:rsid w:val="00A156DE"/>
    <w:rsid w:val="00A20D5E"/>
    <w:rsid w:val="00A2280B"/>
    <w:rsid w:val="00A22BE6"/>
    <w:rsid w:val="00A23A74"/>
    <w:rsid w:val="00A24E93"/>
    <w:rsid w:val="00A25FB6"/>
    <w:rsid w:val="00A261C9"/>
    <w:rsid w:val="00A269E0"/>
    <w:rsid w:val="00A278A3"/>
    <w:rsid w:val="00A3116E"/>
    <w:rsid w:val="00A32352"/>
    <w:rsid w:val="00A32514"/>
    <w:rsid w:val="00A32801"/>
    <w:rsid w:val="00A32C3F"/>
    <w:rsid w:val="00A32FD5"/>
    <w:rsid w:val="00A334A8"/>
    <w:rsid w:val="00A3399B"/>
    <w:rsid w:val="00A33CA0"/>
    <w:rsid w:val="00A34540"/>
    <w:rsid w:val="00A35CE7"/>
    <w:rsid w:val="00A36841"/>
    <w:rsid w:val="00A36BCA"/>
    <w:rsid w:val="00A4020B"/>
    <w:rsid w:val="00A4102C"/>
    <w:rsid w:val="00A433C6"/>
    <w:rsid w:val="00A43EF0"/>
    <w:rsid w:val="00A4462B"/>
    <w:rsid w:val="00A454A5"/>
    <w:rsid w:val="00A45735"/>
    <w:rsid w:val="00A46531"/>
    <w:rsid w:val="00A466CA"/>
    <w:rsid w:val="00A47E00"/>
    <w:rsid w:val="00A5219C"/>
    <w:rsid w:val="00A531E0"/>
    <w:rsid w:val="00A538E2"/>
    <w:rsid w:val="00A54DA7"/>
    <w:rsid w:val="00A556BB"/>
    <w:rsid w:val="00A5595C"/>
    <w:rsid w:val="00A56108"/>
    <w:rsid w:val="00A56AF6"/>
    <w:rsid w:val="00A60A93"/>
    <w:rsid w:val="00A6112C"/>
    <w:rsid w:val="00A642AE"/>
    <w:rsid w:val="00A6502F"/>
    <w:rsid w:val="00A652D1"/>
    <w:rsid w:val="00A66616"/>
    <w:rsid w:val="00A66EA9"/>
    <w:rsid w:val="00A67472"/>
    <w:rsid w:val="00A67F9C"/>
    <w:rsid w:val="00A71821"/>
    <w:rsid w:val="00A72E60"/>
    <w:rsid w:val="00A73849"/>
    <w:rsid w:val="00A750B3"/>
    <w:rsid w:val="00A7621D"/>
    <w:rsid w:val="00A77A12"/>
    <w:rsid w:val="00A8026C"/>
    <w:rsid w:val="00A807AE"/>
    <w:rsid w:val="00A80A4D"/>
    <w:rsid w:val="00A83006"/>
    <w:rsid w:val="00A84225"/>
    <w:rsid w:val="00A84550"/>
    <w:rsid w:val="00A85FA4"/>
    <w:rsid w:val="00A8672D"/>
    <w:rsid w:val="00A87BFA"/>
    <w:rsid w:val="00A937F7"/>
    <w:rsid w:val="00A93822"/>
    <w:rsid w:val="00A938C1"/>
    <w:rsid w:val="00A94C69"/>
    <w:rsid w:val="00A94D64"/>
    <w:rsid w:val="00A95450"/>
    <w:rsid w:val="00A95630"/>
    <w:rsid w:val="00A95685"/>
    <w:rsid w:val="00A958E4"/>
    <w:rsid w:val="00A962F3"/>
    <w:rsid w:val="00A96A61"/>
    <w:rsid w:val="00A97EA6"/>
    <w:rsid w:val="00AA0507"/>
    <w:rsid w:val="00AA10D3"/>
    <w:rsid w:val="00AA1A38"/>
    <w:rsid w:val="00AA1B8B"/>
    <w:rsid w:val="00AA1C61"/>
    <w:rsid w:val="00AA2ADB"/>
    <w:rsid w:val="00AA51F9"/>
    <w:rsid w:val="00AB0516"/>
    <w:rsid w:val="00AB0846"/>
    <w:rsid w:val="00AB19AF"/>
    <w:rsid w:val="00AB239F"/>
    <w:rsid w:val="00AB3108"/>
    <w:rsid w:val="00AB33C4"/>
    <w:rsid w:val="00AB346F"/>
    <w:rsid w:val="00AB58F7"/>
    <w:rsid w:val="00AB592D"/>
    <w:rsid w:val="00AB6924"/>
    <w:rsid w:val="00AC06B4"/>
    <w:rsid w:val="00AC113F"/>
    <w:rsid w:val="00AC187C"/>
    <w:rsid w:val="00AC2EB5"/>
    <w:rsid w:val="00AC358D"/>
    <w:rsid w:val="00AC4F5F"/>
    <w:rsid w:val="00AC55D5"/>
    <w:rsid w:val="00AC5AC1"/>
    <w:rsid w:val="00AC5B04"/>
    <w:rsid w:val="00AC5C73"/>
    <w:rsid w:val="00AD0D7D"/>
    <w:rsid w:val="00AD10F4"/>
    <w:rsid w:val="00AD1C42"/>
    <w:rsid w:val="00AD2237"/>
    <w:rsid w:val="00AD29E1"/>
    <w:rsid w:val="00AD4CFA"/>
    <w:rsid w:val="00AD64D6"/>
    <w:rsid w:val="00AD777B"/>
    <w:rsid w:val="00AD7801"/>
    <w:rsid w:val="00AD7BF9"/>
    <w:rsid w:val="00AE0434"/>
    <w:rsid w:val="00AE223B"/>
    <w:rsid w:val="00AE4179"/>
    <w:rsid w:val="00AE4CA3"/>
    <w:rsid w:val="00AE5841"/>
    <w:rsid w:val="00AE5D96"/>
    <w:rsid w:val="00AE6B9A"/>
    <w:rsid w:val="00AE7464"/>
    <w:rsid w:val="00AE74CE"/>
    <w:rsid w:val="00AE7593"/>
    <w:rsid w:val="00AF0378"/>
    <w:rsid w:val="00AF137A"/>
    <w:rsid w:val="00AF43E9"/>
    <w:rsid w:val="00AF5BB7"/>
    <w:rsid w:val="00AF76E3"/>
    <w:rsid w:val="00B001C7"/>
    <w:rsid w:val="00B005D5"/>
    <w:rsid w:val="00B0237E"/>
    <w:rsid w:val="00B02BEF"/>
    <w:rsid w:val="00B02E92"/>
    <w:rsid w:val="00B045C3"/>
    <w:rsid w:val="00B05873"/>
    <w:rsid w:val="00B059FE"/>
    <w:rsid w:val="00B05DC2"/>
    <w:rsid w:val="00B070A5"/>
    <w:rsid w:val="00B07292"/>
    <w:rsid w:val="00B07A83"/>
    <w:rsid w:val="00B07CFE"/>
    <w:rsid w:val="00B1037A"/>
    <w:rsid w:val="00B10499"/>
    <w:rsid w:val="00B104DC"/>
    <w:rsid w:val="00B107A6"/>
    <w:rsid w:val="00B11991"/>
    <w:rsid w:val="00B12107"/>
    <w:rsid w:val="00B13683"/>
    <w:rsid w:val="00B141F3"/>
    <w:rsid w:val="00B14302"/>
    <w:rsid w:val="00B1482D"/>
    <w:rsid w:val="00B15B98"/>
    <w:rsid w:val="00B15BB3"/>
    <w:rsid w:val="00B16147"/>
    <w:rsid w:val="00B171A7"/>
    <w:rsid w:val="00B175ED"/>
    <w:rsid w:val="00B2024B"/>
    <w:rsid w:val="00B210C2"/>
    <w:rsid w:val="00B21473"/>
    <w:rsid w:val="00B22044"/>
    <w:rsid w:val="00B221B4"/>
    <w:rsid w:val="00B2243B"/>
    <w:rsid w:val="00B23000"/>
    <w:rsid w:val="00B2429E"/>
    <w:rsid w:val="00B244D9"/>
    <w:rsid w:val="00B24699"/>
    <w:rsid w:val="00B24D0F"/>
    <w:rsid w:val="00B26AAC"/>
    <w:rsid w:val="00B27DE7"/>
    <w:rsid w:val="00B311AC"/>
    <w:rsid w:val="00B314E3"/>
    <w:rsid w:val="00B316B5"/>
    <w:rsid w:val="00B32157"/>
    <w:rsid w:val="00B32EEC"/>
    <w:rsid w:val="00B35380"/>
    <w:rsid w:val="00B35385"/>
    <w:rsid w:val="00B35DB5"/>
    <w:rsid w:val="00B36550"/>
    <w:rsid w:val="00B36656"/>
    <w:rsid w:val="00B37969"/>
    <w:rsid w:val="00B413BD"/>
    <w:rsid w:val="00B4161D"/>
    <w:rsid w:val="00B4245E"/>
    <w:rsid w:val="00B449C1"/>
    <w:rsid w:val="00B45122"/>
    <w:rsid w:val="00B4618C"/>
    <w:rsid w:val="00B50727"/>
    <w:rsid w:val="00B50A93"/>
    <w:rsid w:val="00B51594"/>
    <w:rsid w:val="00B523CE"/>
    <w:rsid w:val="00B5297B"/>
    <w:rsid w:val="00B54B90"/>
    <w:rsid w:val="00B5520A"/>
    <w:rsid w:val="00B56546"/>
    <w:rsid w:val="00B57367"/>
    <w:rsid w:val="00B57A7F"/>
    <w:rsid w:val="00B60E53"/>
    <w:rsid w:val="00B6124B"/>
    <w:rsid w:val="00B63C1A"/>
    <w:rsid w:val="00B64012"/>
    <w:rsid w:val="00B64363"/>
    <w:rsid w:val="00B644CF"/>
    <w:rsid w:val="00B646CB"/>
    <w:rsid w:val="00B662FA"/>
    <w:rsid w:val="00B66CD4"/>
    <w:rsid w:val="00B7084F"/>
    <w:rsid w:val="00B714AD"/>
    <w:rsid w:val="00B743F6"/>
    <w:rsid w:val="00B747EE"/>
    <w:rsid w:val="00B7481F"/>
    <w:rsid w:val="00B74DB6"/>
    <w:rsid w:val="00B776C7"/>
    <w:rsid w:val="00B77700"/>
    <w:rsid w:val="00B77E76"/>
    <w:rsid w:val="00B80740"/>
    <w:rsid w:val="00B8102D"/>
    <w:rsid w:val="00B81D60"/>
    <w:rsid w:val="00B833F1"/>
    <w:rsid w:val="00B8494A"/>
    <w:rsid w:val="00B861F4"/>
    <w:rsid w:val="00B90817"/>
    <w:rsid w:val="00B91639"/>
    <w:rsid w:val="00B93716"/>
    <w:rsid w:val="00B93816"/>
    <w:rsid w:val="00B93A07"/>
    <w:rsid w:val="00B93DF0"/>
    <w:rsid w:val="00B949D9"/>
    <w:rsid w:val="00B953FC"/>
    <w:rsid w:val="00B9598C"/>
    <w:rsid w:val="00B960EC"/>
    <w:rsid w:val="00B96664"/>
    <w:rsid w:val="00B968A8"/>
    <w:rsid w:val="00B96B80"/>
    <w:rsid w:val="00B96EFA"/>
    <w:rsid w:val="00BA0E3C"/>
    <w:rsid w:val="00BA3422"/>
    <w:rsid w:val="00BA4573"/>
    <w:rsid w:val="00BA467B"/>
    <w:rsid w:val="00BA5128"/>
    <w:rsid w:val="00BA5EC0"/>
    <w:rsid w:val="00BA7A1E"/>
    <w:rsid w:val="00BB091B"/>
    <w:rsid w:val="00BB17A0"/>
    <w:rsid w:val="00BB29CC"/>
    <w:rsid w:val="00BB2AA6"/>
    <w:rsid w:val="00BB2B4E"/>
    <w:rsid w:val="00BB34D5"/>
    <w:rsid w:val="00BB37D1"/>
    <w:rsid w:val="00BB46BD"/>
    <w:rsid w:val="00BB4D84"/>
    <w:rsid w:val="00BB5010"/>
    <w:rsid w:val="00BB5D88"/>
    <w:rsid w:val="00BB6E9C"/>
    <w:rsid w:val="00BB7FFC"/>
    <w:rsid w:val="00BC0FBD"/>
    <w:rsid w:val="00BC13B9"/>
    <w:rsid w:val="00BC1D19"/>
    <w:rsid w:val="00BC1F61"/>
    <w:rsid w:val="00BC232F"/>
    <w:rsid w:val="00BC435F"/>
    <w:rsid w:val="00BC43C2"/>
    <w:rsid w:val="00BC4A64"/>
    <w:rsid w:val="00BC4B58"/>
    <w:rsid w:val="00BC537E"/>
    <w:rsid w:val="00BC57B3"/>
    <w:rsid w:val="00BC5B82"/>
    <w:rsid w:val="00BC71DF"/>
    <w:rsid w:val="00BC7BD5"/>
    <w:rsid w:val="00BD0D53"/>
    <w:rsid w:val="00BD13F1"/>
    <w:rsid w:val="00BD2E95"/>
    <w:rsid w:val="00BD3270"/>
    <w:rsid w:val="00BD3776"/>
    <w:rsid w:val="00BD43F9"/>
    <w:rsid w:val="00BD5286"/>
    <w:rsid w:val="00BD5B64"/>
    <w:rsid w:val="00BD5C64"/>
    <w:rsid w:val="00BD6FD7"/>
    <w:rsid w:val="00BD781C"/>
    <w:rsid w:val="00BE0078"/>
    <w:rsid w:val="00BE021A"/>
    <w:rsid w:val="00BE0366"/>
    <w:rsid w:val="00BE08C5"/>
    <w:rsid w:val="00BE0CBB"/>
    <w:rsid w:val="00BE2B6C"/>
    <w:rsid w:val="00BE48D7"/>
    <w:rsid w:val="00BE4A00"/>
    <w:rsid w:val="00BE4C63"/>
    <w:rsid w:val="00BE62DA"/>
    <w:rsid w:val="00BE7AA0"/>
    <w:rsid w:val="00BF1311"/>
    <w:rsid w:val="00BF167D"/>
    <w:rsid w:val="00BF181A"/>
    <w:rsid w:val="00BF1F9D"/>
    <w:rsid w:val="00BF269B"/>
    <w:rsid w:val="00BF62E3"/>
    <w:rsid w:val="00C00E4E"/>
    <w:rsid w:val="00C01C6C"/>
    <w:rsid w:val="00C0274A"/>
    <w:rsid w:val="00C029BE"/>
    <w:rsid w:val="00C04085"/>
    <w:rsid w:val="00C04A8B"/>
    <w:rsid w:val="00C04FEB"/>
    <w:rsid w:val="00C0648C"/>
    <w:rsid w:val="00C06CE1"/>
    <w:rsid w:val="00C07609"/>
    <w:rsid w:val="00C07B32"/>
    <w:rsid w:val="00C10097"/>
    <w:rsid w:val="00C1069B"/>
    <w:rsid w:val="00C112A8"/>
    <w:rsid w:val="00C13D1A"/>
    <w:rsid w:val="00C15FEA"/>
    <w:rsid w:val="00C1615C"/>
    <w:rsid w:val="00C20545"/>
    <w:rsid w:val="00C2256D"/>
    <w:rsid w:val="00C23A9A"/>
    <w:rsid w:val="00C246E1"/>
    <w:rsid w:val="00C24720"/>
    <w:rsid w:val="00C24EB8"/>
    <w:rsid w:val="00C26707"/>
    <w:rsid w:val="00C26CD4"/>
    <w:rsid w:val="00C304FC"/>
    <w:rsid w:val="00C3141D"/>
    <w:rsid w:val="00C31A91"/>
    <w:rsid w:val="00C325BE"/>
    <w:rsid w:val="00C3298F"/>
    <w:rsid w:val="00C35BE9"/>
    <w:rsid w:val="00C37889"/>
    <w:rsid w:val="00C423A4"/>
    <w:rsid w:val="00C42DBE"/>
    <w:rsid w:val="00C42DD1"/>
    <w:rsid w:val="00C439C8"/>
    <w:rsid w:val="00C44F8D"/>
    <w:rsid w:val="00C46395"/>
    <w:rsid w:val="00C463BD"/>
    <w:rsid w:val="00C476ED"/>
    <w:rsid w:val="00C47B73"/>
    <w:rsid w:val="00C51EC6"/>
    <w:rsid w:val="00C535D0"/>
    <w:rsid w:val="00C53DD4"/>
    <w:rsid w:val="00C544BA"/>
    <w:rsid w:val="00C5452B"/>
    <w:rsid w:val="00C54592"/>
    <w:rsid w:val="00C5570A"/>
    <w:rsid w:val="00C56211"/>
    <w:rsid w:val="00C567DF"/>
    <w:rsid w:val="00C60289"/>
    <w:rsid w:val="00C603D8"/>
    <w:rsid w:val="00C61476"/>
    <w:rsid w:val="00C61667"/>
    <w:rsid w:val="00C61B90"/>
    <w:rsid w:val="00C628F0"/>
    <w:rsid w:val="00C638C5"/>
    <w:rsid w:val="00C6431D"/>
    <w:rsid w:val="00C6556E"/>
    <w:rsid w:val="00C67501"/>
    <w:rsid w:val="00C67909"/>
    <w:rsid w:val="00C67987"/>
    <w:rsid w:val="00C702D9"/>
    <w:rsid w:val="00C72672"/>
    <w:rsid w:val="00C72A37"/>
    <w:rsid w:val="00C73BD8"/>
    <w:rsid w:val="00C74187"/>
    <w:rsid w:val="00C75907"/>
    <w:rsid w:val="00C75FD1"/>
    <w:rsid w:val="00C76033"/>
    <w:rsid w:val="00C77F0D"/>
    <w:rsid w:val="00C77F36"/>
    <w:rsid w:val="00C82398"/>
    <w:rsid w:val="00C82DC2"/>
    <w:rsid w:val="00C838A3"/>
    <w:rsid w:val="00C867C3"/>
    <w:rsid w:val="00C87637"/>
    <w:rsid w:val="00C90CC1"/>
    <w:rsid w:val="00C924B8"/>
    <w:rsid w:val="00C94BDD"/>
    <w:rsid w:val="00C9505F"/>
    <w:rsid w:val="00C967D2"/>
    <w:rsid w:val="00CA13A4"/>
    <w:rsid w:val="00CA16BE"/>
    <w:rsid w:val="00CA16F8"/>
    <w:rsid w:val="00CA1DC2"/>
    <w:rsid w:val="00CA1E35"/>
    <w:rsid w:val="00CA25E3"/>
    <w:rsid w:val="00CA537F"/>
    <w:rsid w:val="00CA591A"/>
    <w:rsid w:val="00CA6847"/>
    <w:rsid w:val="00CA6993"/>
    <w:rsid w:val="00CA7561"/>
    <w:rsid w:val="00CB07E9"/>
    <w:rsid w:val="00CB0F4D"/>
    <w:rsid w:val="00CB1277"/>
    <w:rsid w:val="00CB29A5"/>
    <w:rsid w:val="00CB2F89"/>
    <w:rsid w:val="00CB3E28"/>
    <w:rsid w:val="00CB42B5"/>
    <w:rsid w:val="00CB50C9"/>
    <w:rsid w:val="00CB576D"/>
    <w:rsid w:val="00CB79CB"/>
    <w:rsid w:val="00CC0764"/>
    <w:rsid w:val="00CC0ED0"/>
    <w:rsid w:val="00CC137D"/>
    <w:rsid w:val="00CC1739"/>
    <w:rsid w:val="00CC1D02"/>
    <w:rsid w:val="00CC1D5D"/>
    <w:rsid w:val="00CC2D03"/>
    <w:rsid w:val="00CC35F1"/>
    <w:rsid w:val="00CC5B56"/>
    <w:rsid w:val="00CC6AA1"/>
    <w:rsid w:val="00CD007C"/>
    <w:rsid w:val="00CD225F"/>
    <w:rsid w:val="00CD2800"/>
    <w:rsid w:val="00CD2D8E"/>
    <w:rsid w:val="00CD36AA"/>
    <w:rsid w:val="00CD3FEF"/>
    <w:rsid w:val="00CD6524"/>
    <w:rsid w:val="00CD6CCB"/>
    <w:rsid w:val="00CD6EBC"/>
    <w:rsid w:val="00CE09AB"/>
    <w:rsid w:val="00CE1282"/>
    <w:rsid w:val="00CE1A31"/>
    <w:rsid w:val="00CE40AB"/>
    <w:rsid w:val="00CE422A"/>
    <w:rsid w:val="00CE443B"/>
    <w:rsid w:val="00CE4D31"/>
    <w:rsid w:val="00CE5382"/>
    <w:rsid w:val="00CE5BFD"/>
    <w:rsid w:val="00CE5FA3"/>
    <w:rsid w:val="00CE6242"/>
    <w:rsid w:val="00CE71E7"/>
    <w:rsid w:val="00CE7970"/>
    <w:rsid w:val="00CF0260"/>
    <w:rsid w:val="00CF078A"/>
    <w:rsid w:val="00CF0D5E"/>
    <w:rsid w:val="00CF0F89"/>
    <w:rsid w:val="00CF16A8"/>
    <w:rsid w:val="00CF1F18"/>
    <w:rsid w:val="00CF1F28"/>
    <w:rsid w:val="00CF2119"/>
    <w:rsid w:val="00CF25BE"/>
    <w:rsid w:val="00CF2A15"/>
    <w:rsid w:val="00CF322C"/>
    <w:rsid w:val="00CF3253"/>
    <w:rsid w:val="00CF3EA3"/>
    <w:rsid w:val="00CF40B3"/>
    <w:rsid w:val="00CF4847"/>
    <w:rsid w:val="00CF4C45"/>
    <w:rsid w:val="00CF5E18"/>
    <w:rsid w:val="00CF64F8"/>
    <w:rsid w:val="00CF794B"/>
    <w:rsid w:val="00D0080A"/>
    <w:rsid w:val="00D009AF"/>
    <w:rsid w:val="00D00ABB"/>
    <w:rsid w:val="00D025B8"/>
    <w:rsid w:val="00D02AF6"/>
    <w:rsid w:val="00D03824"/>
    <w:rsid w:val="00D03E40"/>
    <w:rsid w:val="00D06F92"/>
    <w:rsid w:val="00D077DA"/>
    <w:rsid w:val="00D112EF"/>
    <w:rsid w:val="00D12A99"/>
    <w:rsid w:val="00D13206"/>
    <w:rsid w:val="00D138C7"/>
    <w:rsid w:val="00D138FD"/>
    <w:rsid w:val="00D14055"/>
    <w:rsid w:val="00D1518F"/>
    <w:rsid w:val="00D1574D"/>
    <w:rsid w:val="00D1591C"/>
    <w:rsid w:val="00D15FE5"/>
    <w:rsid w:val="00D168B9"/>
    <w:rsid w:val="00D172C8"/>
    <w:rsid w:val="00D20CED"/>
    <w:rsid w:val="00D22FF8"/>
    <w:rsid w:val="00D232DB"/>
    <w:rsid w:val="00D244D5"/>
    <w:rsid w:val="00D24AD3"/>
    <w:rsid w:val="00D2565F"/>
    <w:rsid w:val="00D258F9"/>
    <w:rsid w:val="00D259F0"/>
    <w:rsid w:val="00D2768D"/>
    <w:rsid w:val="00D305B6"/>
    <w:rsid w:val="00D30731"/>
    <w:rsid w:val="00D30C3C"/>
    <w:rsid w:val="00D3230A"/>
    <w:rsid w:val="00D33871"/>
    <w:rsid w:val="00D3400B"/>
    <w:rsid w:val="00D34677"/>
    <w:rsid w:val="00D36068"/>
    <w:rsid w:val="00D36231"/>
    <w:rsid w:val="00D37A82"/>
    <w:rsid w:val="00D41C25"/>
    <w:rsid w:val="00D43A9B"/>
    <w:rsid w:val="00D43B25"/>
    <w:rsid w:val="00D4417E"/>
    <w:rsid w:val="00D470B3"/>
    <w:rsid w:val="00D5008D"/>
    <w:rsid w:val="00D51022"/>
    <w:rsid w:val="00D525B8"/>
    <w:rsid w:val="00D539EC"/>
    <w:rsid w:val="00D56553"/>
    <w:rsid w:val="00D56F04"/>
    <w:rsid w:val="00D56FEC"/>
    <w:rsid w:val="00D60B0B"/>
    <w:rsid w:val="00D60DD8"/>
    <w:rsid w:val="00D614BA"/>
    <w:rsid w:val="00D61798"/>
    <w:rsid w:val="00D61F1C"/>
    <w:rsid w:val="00D629D3"/>
    <w:rsid w:val="00D62BD0"/>
    <w:rsid w:val="00D63B42"/>
    <w:rsid w:val="00D64200"/>
    <w:rsid w:val="00D64605"/>
    <w:rsid w:val="00D64652"/>
    <w:rsid w:val="00D647A4"/>
    <w:rsid w:val="00D64E13"/>
    <w:rsid w:val="00D66092"/>
    <w:rsid w:val="00D6686A"/>
    <w:rsid w:val="00D66C47"/>
    <w:rsid w:val="00D70676"/>
    <w:rsid w:val="00D70E6A"/>
    <w:rsid w:val="00D71C8D"/>
    <w:rsid w:val="00D72CF2"/>
    <w:rsid w:val="00D73378"/>
    <w:rsid w:val="00D7379E"/>
    <w:rsid w:val="00D73F24"/>
    <w:rsid w:val="00D73FCD"/>
    <w:rsid w:val="00D74527"/>
    <w:rsid w:val="00D747EE"/>
    <w:rsid w:val="00D74A12"/>
    <w:rsid w:val="00D80634"/>
    <w:rsid w:val="00D810F1"/>
    <w:rsid w:val="00D81C1B"/>
    <w:rsid w:val="00D82990"/>
    <w:rsid w:val="00D84522"/>
    <w:rsid w:val="00D867B1"/>
    <w:rsid w:val="00D8786D"/>
    <w:rsid w:val="00D87B46"/>
    <w:rsid w:val="00D94394"/>
    <w:rsid w:val="00D94397"/>
    <w:rsid w:val="00D95A50"/>
    <w:rsid w:val="00D95B13"/>
    <w:rsid w:val="00D97CD0"/>
    <w:rsid w:val="00DA01D9"/>
    <w:rsid w:val="00DA022B"/>
    <w:rsid w:val="00DA02F9"/>
    <w:rsid w:val="00DA031B"/>
    <w:rsid w:val="00DA13D2"/>
    <w:rsid w:val="00DA24EB"/>
    <w:rsid w:val="00DA3198"/>
    <w:rsid w:val="00DA427B"/>
    <w:rsid w:val="00DA6726"/>
    <w:rsid w:val="00DA6733"/>
    <w:rsid w:val="00DA677C"/>
    <w:rsid w:val="00DB1CC7"/>
    <w:rsid w:val="00DB28B3"/>
    <w:rsid w:val="00DB35A0"/>
    <w:rsid w:val="00DB64CF"/>
    <w:rsid w:val="00DB66DA"/>
    <w:rsid w:val="00DB7F37"/>
    <w:rsid w:val="00DC0092"/>
    <w:rsid w:val="00DC0641"/>
    <w:rsid w:val="00DC0D90"/>
    <w:rsid w:val="00DC2244"/>
    <w:rsid w:val="00DC37A5"/>
    <w:rsid w:val="00DC4A52"/>
    <w:rsid w:val="00DC664D"/>
    <w:rsid w:val="00DC6C7F"/>
    <w:rsid w:val="00DC7799"/>
    <w:rsid w:val="00DD0448"/>
    <w:rsid w:val="00DD0949"/>
    <w:rsid w:val="00DD1D84"/>
    <w:rsid w:val="00DD32C9"/>
    <w:rsid w:val="00DD4A23"/>
    <w:rsid w:val="00DD57D3"/>
    <w:rsid w:val="00DD6144"/>
    <w:rsid w:val="00DD65E3"/>
    <w:rsid w:val="00DD7C92"/>
    <w:rsid w:val="00DE091D"/>
    <w:rsid w:val="00DE0C7C"/>
    <w:rsid w:val="00DE3052"/>
    <w:rsid w:val="00DE5AD9"/>
    <w:rsid w:val="00DE5CE5"/>
    <w:rsid w:val="00DE5EFB"/>
    <w:rsid w:val="00DE62B9"/>
    <w:rsid w:val="00DE6308"/>
    <w:rsid w:val="00DE7D4C"/>
    <w:rsid w:val="00DF09BE"/>
    <w:rsid w:val="00DF0D4E"/>
    <w:rsid w:val="00DF1725"/>
    <w:rsid w:val="00DF1913"/>
    <w:rsid w:val="00DF277D"/>
    <w:rsid w:val="00DF3AF5"/>
    <w:rsid w:val="00DF4140"/>
    <w:rsid w:val="00DF4489"/>
    <w:rsid w:val="00DF5032"/>
    <w:rsid w:val="00DF67B4"/>
    <w:rsid w:val="00DF78AA"/>
    <w:rsid w:val="00E00604"/>
    <w:rsid w:val="00E01095"/>
    <w:rsid w:val="00E0113E"/>
    <w:rsid w:val="00E01F35"/>
    <w:rsid w:val="00E03A64"/>
    <w:rsid w:val="00E04B12"/>
    <w:rsid w:val="00E04BE4"/>
    <w:rsid w:val="00E056DD"/>
    <w:rsid w:val="00E06A62"/>
    <w:rsid w:val="00E106D4"/>
    <w:rsid w:val="00E107A7"/>
    <w:rsid w:val="00E11058"/>
    <w:rsid w:val="00E125BA"/>
    <w:rsid w:val="00E14E62"/>
    <w:rsid w:val="00E15EED"/>
    <w:rsid w:val="00E16AED"/>
    <w:rsid w:val="00E16D5B"/>
    <w:rsid w:val="00E208E7"/>
    <w:rsid w:val="00E22D20"/>
    <w:rsid w:val="00E23C8E"/>
    <w:rsid w:val="00E23E35"/>
    <w:rsid w:val="00E245FB"/>
    <w:rsid w:val="00E25986"/>
    <w:rsid w:val="00E267EF"/>
    <w:rsid w:val="00E27128"/>
    <w:rsid w:val="00E27D07"/>
    <w:rsid w:val="00E30D36"/>
    <w:rsid w:val="00E31A08"/>
    <w:rsid w:val="00E31B58"/>
    <w:rsid w:val="00E31E69"/>
    <w:rsid w:val="00E33003"/>
    <w:rsid w:val="00E3393A"/>
    <w:rsid w:val="00E345D4"/>
    <w:rsid w:val="00E34A5F"/>
    <w:rsid w:val="00E3663D"/>
    <w:rsid w:val="00E36D4C"/>
    <w:rsid w:val="00E36D8E"/>
    <w:rsid w:val="00E3724D"/>
    <w:rsid w:val="00E378DA"/>
    <w:rsid w:val="00E40747"/>
    <w:rsid w:val="00E40A93"/>
    <w:rsid w:val="00E40AAC"/>
    <w:rsid w:val="00E40C30"/>
    <w:rsid w:val="00E41E0A"/>
    <w:rsid w:val="00E41EE7"/>
    <w:rsid w:val="00E43642"/>
    <w:rsid w:val="00E4366F"/>
    <w:rsid w:val="00E4544D"/>
    <w:rsid w:val="00E462BB"/>
    <w:rsid w:val="00E47A68"/>
    <w:rsid w:val="00E5002F"/>
    <w:rsid w:val="00E515CA"/>
    <w:rsid w:val="00E537EA"/>
    <w:rsid w:val="00E54088"/>
    <w:rsid w:val="00E543C9"/>
    <w:rsid w:val="00E54401"/>
    <w:rsid w:val="00E55521"/>
    <w:rsid w:val="00E5706E"/>
    <w:rsid w:val="00E5737C"/>
    <w:rsid w:val="00E57AD2"/>
    <w:rsid w:val="00E60938"/>
    <w:rsid w:val="00E6102D"/>
    <w:rsid w:val="00E618FC"/>
    <w:rsid w:val="00E61B6A"/>
    <w:rsid w:val="00E62753"/>
    <w:rsid w:val="00E63B32"/>
    <w:rsid w:val="00E6403C"/>
    <w:rsid w:val="00E645C6"/>
    <w:rsid w:val="00E64D35"/>
    <w:rsid w:val="00E64F33"/>
    <w:rsid w:val="00E67EDD"/>
    <w:rsid w:val="00E73532"/>
    <w:rsid w:val="00E75475"/>
    <w:rsid w:val="00E76AD6"/>
    <w:rsid w:val="00E778B5"/>
    <w:rsid w:val="00E80922"/>
    <w:rsid w:val="00E81F03"/>
    <w:rsid w:val="00E82C37"/>
    <w:rsid w:val="00E8375D"/>
    <w:rsid w:val="00E84231"/>
    <w:rsid w:val="00E84BD8"/>
    <w:rsid w:val="00E858E6"/>
    <w:rsid w:val="00E8671B"/>
    <w:rsid w:val="00E86C85"/>
    <w:rsid w:val="00E87106"/>
    <w:rsid w:val="00E874E5"/>
    <w:rsid w:val="00E875E4"/>
    <w:rsid w:val="00E90A3D"/>
    <w:rsid w:val="00E91D20"/>
    <w:rsid w:val="00E924B4"/>
    <w:rsid w:val="00E924FC"/>
    <w:rsid w:val="00E92988"/>
    <w:rsid w:val="00E937AF"/>
    <w:rsid w:val="00E93FAE"/>
    <w:rsid w:val="00E94F53"/>
    <w:rsid w:val="00E9559D"/>
    <w:rsid w:val="00E9579D"/>
    <w:rsid w:val="00E95BA5"/>
    <w:rsid w:val="00E9692F"/>
    <w:rsid w:val="00E974D1"/>
    <w:rsid w:val="00E978BC"/>
    <w:rsid w:val="00EA20EA"/>
    <w:rsid w:val="00EA25F0"/>
    <w:rsid w:val="00EA3478"/>
    <w:rsid w:val="00EA37E8"/>
    <w:rsid w:val="00EA5D03"/>
    <w:rsid w:val="00EA5DEA"/>
    <w:rsid w:val="00EA6D5D"/>
    <w:rsid w:val="00EB0CB7"/>
    <w:rsid w:val="00EB15D1"/>
    <w:rsid w:val="00EB27E0"/>
    <w:rsid w:val="00EB32E6"/>
    <w:rsid w:val="00EB3F96"/>
    <w:rsid w:val="00EB4EFA"/>
    <w:rsid w:val="00EB5D8B"/>
    <w:rsid w:val="00EB6EB9"/>
    <w:rsid w:val="00EB744B"/>
    <w:rsid w:val="00EC044F"/>
    <w:rsid w:val="00EC0A9D"/>
    <w:rsid w:val="00EC11CF"/>
    <w:rsid w:val="00EC19E9"/>
    <w:rsid w:val="00EC3AB8"/>
    <w:rsid w:val="00EC4524"/>
    <w:rsid w:val="00EC4776"/>
    <w:rsid w:val="00EC5185"/>
    <w:rsid w:val="00ED0971"/>
    <w:rsid w:val="00ED0F80"/>
    <w:rsid w:val="00ED180B"/>
    <w:rsid w:val="00ED2F96"/>
    <w:rsid w:val="00ED46A6"/>
    <w:rsid w:val="00ED5EB7"/>
    <w:rsid w:val="00ED6A8A"/>
    <w:rsid w:val="00ED7C39"/>
    <w:rsid w:val="00EE0F66"/>
    <w:rsid w:val="00EE1552"/>
    <w:rsid w:val="00EE20EC"/>
    <w:rsid w:val="00EE343E"/>
    <w:rsid w:val="00EE4429"/>
    <w:rsid w:val="00EE46EC"/>
    <w:rsid w:val="00EE56A7"/>
    <w:rsid w:val="00EE644C"/>
    <w:rsid w:val="00EE6821"/>
    <w:rsid w:val="00EE7A65"/>
    <w:rsid w:val="00EF02CF"/>
    <w:rsid w:val="00EF04FE"/>
    <w:rsid w:val="00EF2030"/>
    <w:rsid w:val="00EF27CD"/>
    <w:rsid w:val="00EF27F4"/>
    <w:rsid w:val="00EF2DE4"/>
    <w:rsid w:val="00EF311A"/>
    <w:rsid w:val="00EF31F6"/>
    <w:rsid w:val="00EF5EDE"/>
    <w:rsid w:val="00F02910"/>
    <w:rsid w:val="00F02D48"/>
    <w:rsid w:val="00F0377D"/>
    <w:rsid w:val="00F03F54"/>
    <w:rsid w:val="00F05B9D"/>
    <w:rsid w:val="00F05CB3"/>
    <w:rsid w:val="00F06EF2"/>
    <w:rsid w:val="00F0742F"/>
    <w:rsid w:val="00F07788"/>
    <w:rsid w:val="00F07C72"/>
    <w:rsid w:val="00F07D52"/>
    <w:rsid w:val="00F1085E"/>
    <w:rsid w:val="00F10E49"/>
    <w:rsid w:val="00F11CD1"/>
    <w:rsid w:val="00F11DF9"/>
    <w:rsid w:val="00F1353A"/>
    <w:rsid w:val="00F13E99"/>
    <w:rsid w:val="00F147E8"/>
    <w:rsid w:val="00F14F65"/>
    <w:rsid w:val="00F15453"/>
    <w:rsid w:val="00F15497"/>
    <w:rsid w:val="00F210FA"/>
    <w:rsid w:val="00F23104"/>
    <w:rsid w:val="00F23AF7"/>
    <w:rsid w:val="00F2419D"/>
    <w:rsid w:val="00F264C3"/>
    <w:rsid w:val="00F339F2"/>
    <w:rsid w:val="00F33AA5"/>
    <w:rsid w:val="00F3434E"/>
    <w:rsid w:val="00F34F08"/>
    <w:rsid w:val="00F35684"/>
    <w:rsid w:val="00F3696E"/>
    <w:rsid w:val="00F36AA7"/>
    <w:rsid w:val="00F37730"/>
    <w:rsid w:val="00F4113A"/>
    <w:rsid w:val="00F41C74"/>
    <w:rsid w:val="00F41FD4"/>
    <w:rsid w:val="00F42907"/>
    <w:rsid w:val="00F43FC4"/>
    <w:rsid w:val="00F44A8F"/>
    <w:rsid w:val="00F4593A"/>
    <w:rsid w:val="00F460F1"/>
    <w:rsid w:val="00F50205"/>
    <w:rsid w:val="00F52549"/>
    <w:rsid w:val="00F546B8"/>
    <w:rsid w:val="00F54900"/>
    <w:rsid w:val="00F54DFA"/>
    <w:rsid w:val="00F54F35"/>
    <w:rsid w:val="00F556DB"/>
    <w:rsid w:val="00F56AA8"/>
    <w:rsid w:val="00F56CD5"/>
    <w:rsid w:val="00F56F3C"/>
    <w:rsid w:val="00F600AA"/>
    <w:rsid w:val="00F60A5D"/>
    <w:rsid w:val="00F66ED1"/>
    <w:rsid w:val="00F672C9"/>
    <w:rsid w:val="00F70817"/>
    <w:rsid w:val="00F7122E"/>
    <w:rsid w:val="00F71647"/>
    <w:rsid w:val="00F73C63"/>
    <w:rsid w:val="00F746D1"/>
    <w:rsid w:val="00F76596"/>
    <w:rsid w:val="00F768A0"/>
    <w:rsid w:val="00F7732F"/>
    <w:rsid w:val="00F807CB"/>
    <w:rsid w:val="00F80A72"/>
    <w:rsid w:val="00F8182D"/>
    <w:rsid w:val="00F8255B"/>
    <w:rsid w:val="00F83879"/>
    <w:rsid w:val="00F846C6"/>
    <w:rsid w:val="00F90383"/>
    <w:rsid w:val="00F90E8E"/>
    <w:rsid w:val="00F90FC7"/>
    <w:rsid w:val="00F9111E"/>
    <w:rsid w:val="00F92627"/>
    <w:rsid w:val="00F92FDE"/>
    <w:rsid w:val="00F935FB"/>
    <w:rsid w:val="00F94F7E"/>
    <w:rsid w:val="00F956E9"/>
    <w:rsid w:val="00F95A39"/>
    <w:rsid w:val="00F96332"/>
    <w:rsid w:val="00F964C9"/>
    <w:rsid w:val="00F97FBC"/>
    <w:rsid w:val="00FA01D7"/>
    <w:rsid w:val="00FA214D"/>
    <w:rsid w:val="00FA2372"/>
    <w:rsid w:val="00FA39FA"/>
    <w:rsid w:val="00FA4B34"/>
    <w:rsid w:val="00FA5E88"/>
    <w:rsid w:val="00FA68C3"/>
    <w:rsid w:val="00FA6EA1"/>
    <w:rsid w:val="00FA7491"/>
    <w:rsid w:val="00FA75C9"/>
    <w:rsid w:val="00FB0145"/>
    <w:rsid w:val="00FB04B1"/>
    <w:rsid w:val="00FB0A8D"/>
    <w:rsid w:val="00FB0ED7"/>
    <w:rsid w:val="00FB12CD"/>
    <w:rsid w:val="00FB1347"/>
    <w:rsid w:val="00FB137F"/>
    <w:rsid w:val="00FB1D54"/>
    <w:rsid w:val="00FB3108"/>
    <w:rsid w:val="00FB35CC"/>
    <w:rsid w:val="00FB5FC5"/>
    <w:rsid w:val="00FB675D"/>
    <w:rsid w:val="00FB6BE2"/>
    <w:rsid w:val="00FB701F"/>
    <w:rsid w:val="00FB7188"/>
    <w:rsid w:val="00FC05DC"/>
    <w:rsid w:val="00FC0AB5"/>
    <w:rsid w:val="00FC0C7D"/>
    <w:rsid w:val="00FC3BC9"/>
    <w:rsid w:val="00FC3DCB"/>
    <w:rsid w:val="00FC455A"/>
    <w:rsid w:val="00FC509A"/>
    <w:rsid w:val="00FC5404"/>
    <w:rsid w:val="00FC55D3"/>
    <w:rsid w:val="00FC598A"/>
    <w:rsid w:val="00FC694C"/>
    <w:rsid w:val="00FC6AEA"/>
    <w:rsid w:val="00FC7315"/>
    <w:rsid w:val="00FD096E"/>
    <w:rsid w:val="00FD1772"/>
    <w:rsid w:val="00FD1950"/>
    <w:rsid w:val="00FD3329"/>
    <w:rsid w:val="00FD36E8"/>
    <w:rsid w:val="00FD45AF"/>
    <w:rsid w:val="00FD4D05"/>
    <w:rsid w:val="00FD4E0F"/>
    <w:rsid w:val="00FD4F75"/>
    <w:rsid w:val="00FD5FE8"/>
    <w:rsid w:val="00FD6313"/>
    <w:rsid w:val="00FD7268"/>
    <w:rsid w:val="00FE03C5"/>
    <w:rsid w:val="00FE0B7F"/>
    <w:rsid w:val="00FE242C"/>
    <w:rsid w:val="00FE38D2"/>
    <w:rsid w:val="00FE4F3F"/>
    <w:rsid w:val="00FE5579"/>
    <w:rsid w:val="00FE56B0"/>
    <w:rsid w:val="00FE5EE6"/>
    <w:rsid w:val="00FE6219"/>
    <w:rsid w:val="00FE71B5"/>
    <w:rsid w:val="00FF00EE"/>
    <w:rsid w:val="00FF104E"/>
    <w:rsid w:val="00FF192A"/>
    <w:rsid w:val="00FF26CE"/>
    <w:rsid w:val="00FF3734"/>
    <w:rsid w:val="00FF4007"/>
    <w:rsid w:val="00FF52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1A7"/>
    <w:pPr>
      <w:jc w:val="both"/>
    </w:pPr>
    <w:rPr>
      <w:sz w:val="22"/>
    </w:rPr>
  </w:style>
  <w:style w:type="paragraph" w:styleId="Titre1">
    <w:name w:val="heading 1"/>
    <w:basedOn w:val="Normal"/>
    <w:next w:val="Normal"/>
    <w:link w:val="Titre1Car"/>
    <w:qFormat/>
    <w:rsid w:val="00B171A7"/>
    <w:pPr>
      <w:keepNext/>
      <w:numPr>
        <w:numId w:val="29"/>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B171A7"/>
    <w:pPr>
      <w:numPr>
        <w:ilvl w:val="1"/>
      </w:numPr>
      <w:spacing w:before="360" w:after="120"/>
      <w:outlineLvl w:val="1"/>
    </w:pPr>
    <w:rPr>
      <w:b w:val="0"/>
      <w:sz w:val="32"/>
    </w:rPr>
  </w:style>
  <w:style w:type="paragraph" w:styleId="Titre3">
    <w:name w:val="heading 3"/>
    <w:basedOn w:val="Titre2"/>
    <w:next w:val="Normal"/>
    <w:link w:val="Titre3Car"/>
    <w:qFormat/>
    <w:rsid w:val="00B171A7"/>
    <w:pPr>
      <w:numPr>
        <w:ilvl w:val="2"/>
      </w:numPr>
      <w:outlineLvl w:val="2"/>
    </w:pPr>
    <w:rPr>
      <w:b/>
      <w:sz w:val="24"/>
    </w:rPr>
  </w:style>
  <w:style w:type="paragraph" w:styleId="Titre4">
    <w:name w:val="heading 4"/>
    <w:basedOn w:val="Titre3"/>
    <w:next w:val="Normal"/>
    <w:link w:val="Titre4Car"/>
    <w:qFormat/>
    <w:rsid w:val="00B171A7"/>
    <w:pPr>
      <w:numPr>
        <w:ilvl w:val="3"/>
      </w:numPr>
      <w:spacing w:before="240"/>
      <w:outlineLvl w:val="3"/>
    </w:pPr>
    <w:rPr>
      <w:b w:val="0"/>
      <w:sz w:val="22"/>
    </w:rPr>
  </w:style>
  <w:style w:type="paragraph" w:styleId="Titre5">
    <w:name w:val="heading 5"/>
    <w:basedOn w:val="Titre4"/>
    <w:link w:val="Titre5Car"/>
    <w:qFormat/>
    <w:rsid w:val="00B171A7"/>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171A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B171A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B171A7"/>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B171A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B171A7"/>
    <w:rPr>
      <w:rFonts w:ascii="Arial" w:hAnsi="Arial"/>
      <w:b/>
      <w:sz w:val="20"/>
    </w:rPr>
  </w:style>
  <w:style w:type="paragraph" w:styleId="Titre">
    <w:name w:val="Title"/>
    <w:basedOn w:val="Normal"/>
    <w:next w:val="Normal"/>
    <w:link w:val="TitreCar"/>
    <w:autoRedefine/>
    <w:qFormat/>
    <w:rsid w:val="00B171A7"/>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B171A7"/>
    <w:rPr>
      <w:rFonts w:ascii="Arial" w:eastAsiaTheme="majorEastAsia" w:hAnsi="Arial" w:cstheme="majorBidi"/>
      <w:color w:val="17365D" w:themeColor="text2" w:themeShade="BF"/>
      <w:spacing w:val="5"/>
      <w:kern w:val="28"/>
      <w:sz w:val="52"/>
      <w:szCs w:val="52"/>
    </w:rPr>
  </w:style>
  <w:style w:type="paragraph" w:styleId="Paragraphedeliste">
    <w:name w:val="List Paragraph"/>
    <w:basedOn w:val="Normal"/>
    <w:uiPriority w:val="34"/>
    <w:qFormat/>
    <w:rsid w:val="00B171A7"/>
    <w:pPr>
      <w:ind w:left="720"/>
      <w:contextualSpacing/>
    </w:pPr>
  </w:style>
  <w:style w:type="character" w:customStyle="1" w:styleId="PieddepageCar">
    <w:name w:val="Pied de page Car"/>
    <w:basedOn w:val="Policepardfaut"/>
    <w:link w:val="Pieddepage"/>
    <w:uiPriority w:val="99"/>
    <w:rsid w:val="00B171A7"/>
    <w:rPr>
      <w:rFonts w:ascii="Arial" w:hAnsi="Arial"/>
      <w:sz w:val="18"/>
    </w:rPr>
  </w:style>
  <w:style w:type="character" w:customStyle="1" w:styleId="Titre1Car">
    <w:name w:val="Titre 1 Car"/>
    <w:basedOn w:val="Policepardfaut"/>
    <w:link w:val="Titre1"/>
    <w:rsid w:val="00B171A7"/>
    <w:rPr>
      <w:rFonts w:ascii="Arial" w:eastAsiaTheme="majorEastAsia" w:hAnsi="Arial" w:cstheme="majorBidi"/>
      <w:b/>
      <w:sz w:val="36"/>
    </w:rPr>
  </w:style>
  <w:style w:type="character" w:customStyle="1" w:styleId="Titre2Car">
    <w:name w:val="Titre 2 Car"/>
    <w:basedOn w:val="Policepardfaut"/>
    <w:link w:val="Titre2"/>
    <w:rsid w:val="00B171A7"/>
    <w:rPr>
      <w:rFonts w:ascii="Arial" w:eastAsiaTheme="majorEastAsia" w:hAnsi="Arial" w:cstheme="majorBidi"/>
      <w:sz w:val="32"/>
    </w:rPr>
  </w:style>
  <w:style w:type="character" w:customStyle="1" w:styleId="Titre3Car">
    <w:name w:val="Titre 3 Car"/>
    <w:basedOn w:val="Policepardfaut"/>
    <w:link w:val="Titre3"/>
    <w:rsid w:val="00B171A7"/>
    <w:rPr>
      <w:rFonts w:ascii="Arial" w:eastAsiaTheme="majorEastAsia" w:hAnsi="Arial" w:cstheme="majorBidi"/>
      <w:b/>
      <w:sz w:val="24"/>
    </w:rPr>
  </w:style>
  <w:style w:type="character" w:customStyle="1" w:styleId="Titre4Car">
    <w:name w:val="Titre 4 Car"/>
    <w:basedOn w:val="Policepardfaut"/>
    <w:link w:val="Titre4"/>
    <w:rsid w:val="00B171A7"/>
    <w:rPr>
      <w:rFonts w:ascii="Arial" w:eastAsiaTheme="majorEastAsia" w:hAnsi="Arial" w:cstheme="majorBidi"/>
      <w:sz w:val="22"/>
    </w:rPr>
  </w:style>
  <w:style w:type="character" w:customStyle="1" w:styleId="Titre5Car">
    <w:name w:val="Titre 5 Car"/>
    <w:basedOn w:val="Policepardfaut"/>
    <w:link w:val="Titre5"/>
    <w:rsid w:val="00B171A7"/>
    <w:rPr>
      <w:rFonts w:eastAsiaTheme="majorEastAsia" w:cstheme="majorBidi"/>
      <w:b/>
      <w:i/>
      <w:sz w:val="22"/>
    </w:rPr>
  </w:style>
  <w:style w:type="character" w:customStyle="1" w:styleId="Titre6Car">
    <w:name w:val="Titre 6 Car"/>
    <w:basedOn w:val="Policepardfaut"/>
    <w:link w:val="Titre6"/>
    <w:semiHidden/>
    <w:rsid w:val="00B171A7"/>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B171A7"/>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B171A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171A7"/>
    <w:rPr>
      <w:rFonts w:asciiTheme="majorHAnsi" w:eastAsiaTheme="majorEastAsia" w:hAnsiTheme="majorHAnsi" w:cstheme="majorBidi"/>
      <w:i/>
      <w:iCs/>
      <w:color w:val="404040" w:themeColor="text1" w:themeTint="BF"/>
    </w:rPr>
  </w:style>
  <w:style w:type="paragraph" w:styleId="Sous-titre">
    <w:name w:val="Subtitle"/>
    <w:basedOn w:val="Normal"/>
    <w:next w:val="Normal"/>
    <w:link w:val="Sous-titreCar"/>
    <w:qFormat/>
    <w:rsid w:val="00B17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B171A7"/>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qFormat/>
    <w:rsid w:val="00B171A7"/>
    <w:rPr>
      <w:b/>
      <w:bCs/>
    </w:rPr>
  </w:style>
  <w:style w:type="character" w:styleId="Accentuation">
    <w:name w:val="Emphasis"/>
    <w:basedOn w:val="Policepardfaut"/>
    <w:qFormat/>
    <w:rsid w:val="00B171A7"/>
    <w:rPr>
      <w:i/>
      <w:iCs/>
    </w:rPr>
  </w:style>
  <w:style w:type="paragraph" w:styleId="Sansinterligne">
    <w:name w:val="No Spacing"/>
    <w:link w:val="SansinterligneCar"/>
    <w:uiPriority w:val="1"/>
    <w:qFormat/>
    <w:rsid w:val="00B171A7"/>
    <w:pPr>
      <w:jc w:val="both"/>
    </w:pPr>
    <w:rPr>
      <w:sz w:val="22"/>
    </w:rPr>
  </w:style>
  <w:style w:type="character" w:customStyle="1" w:styleId="SansinterligneCar">
    <w:name w:val="Sans interligne Car"/>
    <w:basedOn w:val="Policepardfaut"/>
    <w:link w:val="Sansinterligne"/>
    <w:uiPriority w:val="1"/>
    <w:rsid w:val="00B171A7"/>
    <w:rPr>
      <w:sz w:val="22"/>
    </w:rPr>
  </w:style>
  <w:style w:type="paragraph" w:styleId="Citation">
    <w:name w:val="Quote"/>
    <w:basedOn w:val="Normal"/>
    <w:next w:val="Normal"/>
    <w:link w:val="CitationCar"/>
    <w:uiPriority w:val="29"/>
    <w:qFormat/>
    <w:rsid w:val="00B171A7"/>
    <w:rPr>
      <w:i/>
      <w:iCs/>
      <w:color w:val="000000" w:themeColor="text1"/>
    </w:rPr>
  </w:style>
  <w:style w:type="character" w:customStyle="1" w:styleId="CitationCar">
    <w:name w:val="Citation Car"/>
    <w:basedOn w:val="Policepardfaut"/>
    <w:link w:val="Citation"/>
    <w:uiPriority w:val="29"/>
    <w:rsid w:val="00B171A7"/>
    <w:rPr>
      <w:i/>
      <w:iCs/>
      <w:color w:val="000000" w:themeColor="text1"/>
      <w:sz w:val="22"/>
    </w:rPr>
  </w:style>
  <w:style w:type="paragraph" w:styleId="Citationintense">
    <w:name w:val="Intense Quote"/>
    <w:basedOn w:val="Normal"/>
    <w:next w:val="Normal"/>
    <w:link w:val="CitationintenseCar"/>
    <w:uiPriority w:val="30"/>
    <w:qFormat/>
    <w:rsid w:val="00B171A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171A7"/>
    <w:rPr>
      <w:b/>
      <w:bCs/>
      <w:i/>
      <w:iCs/>
      <w:color w:val="4F81BD" w:themeColor="accent1"/>
      <w:sz w:val="22"/>
    </w:rPr>
  </w:style>
  <w:style w:type="character" w:styleId="Emphaseple">
    <w:name w:val="Subtle Emphasis"/>
    <w:basedOn w:val="Policepardfaut"/>
    <w:uiPriority w:val="19"/>
    <w:qFormat/>
    <w:rsid w:val="00B171A7"/>
    <w:rPr>
      <w:i/>
      <w:iCs/>
      <w:color w:val="808080" w:themeColor="text1" w:themeTint="7F"/>
    </w:rPr>
  </w:style>
  <w:style w:type="character" w:styleId="Emphaseintense">
    <w:name w:val="Intense Emphasis"/>
    <w:basedOn w:val="Policepardfaut"/>
    <w:uiPriority w:val="21"/>
    <w:qFormat/>
    <w:rsid w:val="00B171A7"/>
    <w:rPr>
      <w:b/>
      <w:bCs/>
      <w:i/>
      <w:iCs/>
      <w:color w:val="4F81BD" w:themeColor="accent1"/>
    </w:rPr>
  </w:style>
  <w:style w:type="character" w:styleId="Rfrenceple">
    <w:name w:val="Subtle Reference"/>
    <w:basedOn w:val="Policepardfaut"/>
    <w:uiPriority w:val="31"/>
    <w:qFormat/>
    <w:rsid w:val="00B171A7"/>
    <w:rPr>
      <w:smallCaps/>
      <w:color w:val="C0504D" w:themeColor="accent2"/>
      <w:u w:val="single"/>
    </w:rPr>
  </w:style>
  <w:style w:type="character" w:styleId="Rfrenceintense">
    <w:name w:val="Intense Reference"/>
    <w:basedOn w:val="Policepardfaut"/>
    <w:uiPriority w:val="32"/>
    <w:qFormat/>
    <w:rsid w:val="00B171A7"/>
    <w:rPr>
      <w:b/>
      <w:bCs/>
      <w:smallCaps/>
      <w:color w:val="C0504D" w:themeColor="accent2"/>
      <w:spacing w:val="5"/>
      <w:u w:val="single"/>
    </w:rPr>
  </w:style>
  <w:style w:type="character" w:styleId="Titredulivre">
    <w:name w:val="Book Title"/>
    <w:basedOn w:val="Policepardfaut"/>
    <w:uiPriority w:val="33"/>
    <w:qFormat/>
    <w:rsid w:val="00B171A7"/>
    <w:rPr>
      <w:b/>
      <w:bCs/>
      <w:smallCaps/>
      <w:spacing w:val="5"/>
    </w:rPr>
  </w:style>
  <w:style w:type="paragraph" w:styleId="En-ttedetabledesmatires">
    <w:name w:val="TOC Heading"/>
    <w:basedOn w:val="Titre1"/>
    <w:next w:val="Normal"/>
    <w:uiPriority w:val="39"/>
    <w:semiHidden/>
    <w:unhideWhenUsed/>
    <w:qFormat/>
    <w:rsid w:val="00B171A7"/>
    <w:pPr>
      <w:keepLines/>
      <w:numPr>
        <w:numId w:val="0"/>
      </w:numPr>
      <w:spacing w:after="0"/>
      <w:jc w:val="both"/>
      <w:outlineLvl w:val="9"/>
    </w:pPr>
    <w:rPr>
      <w:rFonts w:asciiTheme="majorHAnsi" w:hAnsiTheme="majorHAnsi"/>
      <w:bCs/>
      <w:color w:val="365F91" w:themeColor="accent1" w:themeShade="BF"/>
      <w:sz w:val="28"/>
      <w:szCs w:val="28"/>
    </w:rPr>
  </w:style>
  <w:style w:type="paragraph" w:styleId="Textedebulles">
    <w:name w:val="Balloon Text"/>
    <w:basedOn w:val="Normal"/>
    <w:link w:val="TextedebullesCar"/>
    <w:rsid w:val="00C75FD1"/>
    <w:rPr>
      <w:rFonts w:ascii="Tahoma" w:hAnsi="Tahoma" w:cs="Tahoma"/>
      <w:sz w:val="16"/>
      <w:szCs w:val="16"/>
    </w:rPr>
  </w:style>
  <w:style w:type="character" w:customStyle="1" w:styleId="TextedebullesCar">
    <w:name w:val="Texte de bulles Car"/>
    <w:basedOn w:val="Policepardfaut"/>
    <w:link w:val="Textedebulles"/>
    <w:rsid w:val="00C75FD1"/>
    <w:rPr>
      <w:rFonts w:ascii="Tahoma" w:hAnsi="Tahoma" w:cs="Tahoma"/>
      <w:sz w:val="16"/>
      <w:szCs w:val="16"/>
    </w:rPr>
  </w:style>
  <w:style w:type="paragraph" w:styleId="NormalWeb">
    <w:name w:val="Normal (Web)"/>
    <w:basedOn w:val="Normal"/>
    <w:uiPriority w:val="99"/>
    <w:unhideWhenUsed/>
    <w:rsid w:val="00947922"/>
    <w:pPr>
      <w:spacing w:before="100" w:beforeAutospacing="1" w:after="100" w:afterAutospacing="1"/>
      <w:jc w:val="left"/>
    </w:pPr>
    <w:rPr>
      <w:sz w:val="24"/>
      <w:szCs w:val="24"/>
    </w:rPr>
  </w:style>
  <w:style w:type="table" w:styleId="Grilledutableau">
    <w:name w:val="Table Grid"/>
    <w:basedOn w:val="TableauNormal"/>
    <w:rsid w:val="00C04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rsid w:val="00837D07"/>
    <w:rPr>
      <w:sz w:val="16"/>
      <w:szCs w:val="16"/>
    </w:rPr>
  </w:style>
  <w:style w:type="paragraph" w:styleId="Commentaire">
    <w:name w:val="annotation text"/>
    <w:basedOn w:val="Normal"/>
    <w:link w:val="CommentaireCar"/>
    <w:rsid w:val="00837D07"/>
    <w:rPr>
      <w:sz w:val="20"/>
    </w:rPr>
  </w:style>
  <w:style w:type="character" w:customStyle="1" w:styleId="CommentaireCar">
    <w:name w:val="Commentaire Car"/>
    <w:basedOn w:val="Policepardfaut"/>
    <w:link w:val="Commentaire"/>
    <w:rsid w:val="00837D07"/>
  </w:style>
  <w:style w:type="paragraph" w:styleId="Objetducommentaire">
    <w:name w:val="annotation subject"/>
    <w:basedOn w:val="Commentaire"/>
    <w:next w:val="Commentaire"/>
    <w:link w:val="ObjetducommentaireCar"/>
    <w:rsid w:val="00837D07"/>
    <w:rPr>
      <w:b/>
      <w:bCs/>
    </w:rPr>
  </w:style>
  <w:style w:type="character" w:customStyle="1" w:styleId="ObjetducommentaireCar">
    <w:name w:val="Objet du commentaire Car"/>
    <w:basedOn w:val="CommentaireCar"/>
    <w:link w:val="Objetducommentaire"/>
    <w:rsid w:val="00837D07"/>
    <w:rPr>
      <w:b/>
      <w:bCs/>
    </w:rPr>
  </w:style>
  <w:style w:type="paragraph" w:styleId="Rvision">
    <w:name w:val="Revision"/>
    <w:hidden/>
    <w:uiPriority w:val="99"/>
    <w:semiHidden/>
    <w:rsid w:val="00AB592D"/>
    <w:rPr>
      <w:sz w:val="22"/>
    </w:rPr>
  </w:style>
</w:styles>
</file>

<file path=word/webSettings.xml><?xml version="1.0" encoding="utf-8"?>
<w:webSettings xmlns:r="http://schemas.openxmlformats.org/officeDocument/2006/relationships" xmlns:w="http://schemas.openxmlformats.org/wordprocessingml/2006/main">
  <w:divs>
    <w:div w:id="453521328">
      <w:bodyDiv w:val="1"/>
      <w:marLeft w:val="0"/>
      <w:marRight w:val="0"/>
      <w:marTop w:val="0"/>
      <w:marBottom w:val="0"/>
      <w:divBdr>
        <w:top w:val="none" w:sz="0" w:space="0" w:color="auto"/>
        <w:left w:val="none" w:sz="0" w:space="0" w:color="auto"/>
        <w:bottom w:val="none" w:sz="0" w:space="0" w:color="auto"/>
        <w:right w:val="none" w:sz="0" w:space="0" w:color="auto"/>
      </w:divBdr>
      <w:divsChild>
        <w:div w:id="1484734406">
          <w:marLeft w:val="475"/>
          <w:marRight w:val="0"/>
          <w:marTop w:val="360"/>
          <w:marBottom w:val="0"/>
          <w:divBdr>
            <w:top w:val="none" w:sz="0" w:space="0" w:color="auto"/>
            <w:left w:val="none" w:sz="0" w:space="0" w:color="auto"/>
            <w:bottom w:val="none" w:sz="0" w:space="0" w:color="auto"/>
            <w:right w:val="none" w:sz="0" w:space="0" w:color="auto"/>
          </w:divBdr>
        </w:div>
      </w:divsChild>
    </w:div>
    <w:div w:id="632293750">
      <w:bodyDiv w:val="1"/>
      <w:marLeft w:val="0"/>
      <w:marRight w:val="0"/>
      <w:marTop w:val="0"/>
      <w:marBottom w:val="0"/>
      <w:divBdr>
        <w:top w:val="none" w:sz="0" w:space="0" w:color="auto"/>
        <w:left w:val="none" w:sz="0" w:space="0" w:color="auto"/>
        <w:bottom w:val="none" w:sz="0" w:space="0" w:color="auto"/>
        <w:right w:val="none" w:sz="0" w:space="0" w:color="auto"/>
      </w:divBdr>
      <w:divsChild>
        <w:div w:id="609749747">
          <w:marLeft w:val="547"/>
          <w:marRight w:val="0"/>
          <w:marTop w:val="173"/>
          <w:marBottom w:val="0"/>
          <w:divBdr>
            <w:top w:val="none" w:sz="0" w:space="0" w:color="auto"/>
            <w:left w:val="none" w:sz="0" w:space="0" w:color="auto"/>
            <w:bottom w:val="none" w:sz="0" w:space="0" w:color="auto"/>
            <w:right w:val="none" w:sz="0" w:space="0" w:color="auto"/>
          </w:divBdr>
        </w:div>
      </w:divsChild>
    </w:div>
    <w:div w:id="907299794">
      <w:bodyDiv w:val="1"/>
      <w:marLeft w:val="1134"/>
      <w:marRight w:val="1134"/>
      <w:marTop w:val="0"/>
      <w:marBottom w:val="0"/>
      <w:divBdr>
        <w:top w:val="none" w:sz="0" w:space="0" w:color="auto"/>
        <w:left w:val="none" w:sz="0" w:space="0" w:color="auto"/>
        <w:bottom w:val="none" w:sz="0" w:space="0" w:color="auto"/>
        <w:right w:val="none" w:sz="0" w:space="0" w:color="auto"/>
      </w:divBdr>
      <w:divsChild>
        <w:div w:id="1862087878">
          <w:marLeft w:val="0"/>
          <w:marRight w:val="0"/>
          <w:marTop w:val="0"/>
          <w:marBottom w:val="0"/>
          <w:divBdr>
            <w:top w:val="none" w:sz="0" w:space="0" w:color="auto"/>
            <w:left w:val="none" w:sz="0" w:space="0" w:color="auto"/>
            <w:bottom w:val="none" w:sz="0" w:space="0" w:color="auto"/>
            <w:right w:val="none" w:sz="0" w:space="0" w:color="auto"/>
          </w:divBdr>
          <w:divsChild>
            <w:div w:id="414321130">
              <w:marLeft w:val="2445"/>
              <w:marRight w:val="2038"/>
              <w:marTop w:val="543"/>
              <w:marBottom w:val="0"/>
              <w:divBdr>
                <w:top w:val="none" w:sz="0" w:space="0" w:color="auto"/>
                <w:left w:val="none" w:sz="0" w:space="0" w:color="auto"/>
                <w:bottom w:val="none" w:sz="0" w:space="0" w:color="auto"/>
                <w:right w:val="none" w:sz="0" w:space="0" w:color="auto"/>
              </w:divBdr>
              <w:divsChild>
                <w:div w:id="1601060826">
                  <w:marLeft w:val="0"/>
                  <w:marRight w:val="0"/>
                  <w:marTop w:val="0"/>
                  <w:marBottom w:val="204"/>
                  <w:divBdr>
                    <w:top w:val="none" w:sz="0" w:space="0" w:color="auto"/>
                    <w:left w:val="none" w:sz="0" w:space="0" w:color="auto"/>
                    <w:bottom w:val="none" w:sz="0" w:space="0" w:color="auto"/>
                    <w:right w:val="none" w:sz="0" w:space="0" w:color="auto"/>
                  </w:divBdr>
                  <w:divsChild>
                    <w:div w:id="1560825644">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 w:id="1000892504">
      <w:bodyDiv w:val="1"/>
      <w:marLeft w:val="0"/>
      <w:marRight w:val="0"/>
      <w:marTop w:val="0"/>
      <w:marBottom w:val="0"/>
      <w:divBdr>
        <w:top w:val="none" w:sz="0" w:space="0" w:color="auto"/>
        <w:left w:val="none" w:sz="0" w:space="0" w:color="auto"/>
        <w:bottom w:val="none" w:sz="0" w:space="0" w:color="auto"/>
        <w:right w:val="none" w:sz="0" w:space="0" w:color="auto"/>
      </w:divBdr>
      <w:divsChild>
        <w:div w:id="210576034">
          <w:marLeft w:val="0"/>
          <w:marRight w:val="0"/>
          <w:marTop w:val="100"/>
          <w:marBottom w:val="100"/>
          <w:divBdr>
            <w:top w:val="none" w:sz="0" w:space="0" w:color="auto"/>
            <w:left w:val="none" w:sz="0" w:space="0" w:color="auto"/>
            <w:bottom w:val="none" w:sz="0" w:space="0" w:color="auto"/>
            <w:right w:val="none" w:sz="0" w:space="0" w:color="auto"/>
          </w:divBdr>
          <w:divsChild>
            <w:div w:id="1463961809">
              <w:marLeft w:val="-5120"/>
              <w:marRight w:val="0"/>
              <w:marTop w:val="0"/>
              <w:marBottom w:val="0"/>
              <w:divBdr>
                <w:top w:val="none" w:sz="0" w:space="0" w:color="auto"/>
                <w:left w:val="none" w:sz="0" w:space="0" w:color="auto"/>
                <w:bottom w:val="none" w:sz="0" w:space="0" w:color="auto"/>
                <w:right w:val="none" w:sz="0" w:space="0" w:color="auto"/>
              </w:divBdr>
              <w:divsChild>
                <w:div w:id="1474911507">
                  <w:marLeft w:val="0"/>
                  <w:marRight w:val="0"/>
                  <w:marTop w:val="270"/>
                  <w:marBottom w:val="0"/>
                  <w:divBdr>
                    <w:top w:val="none" w:sz="0" w:space="0" w:color="auto"/>
                    <w:left w:val="none" w:sz="0" w:space="0" w:color="auto"/>
                    <w:bottom w:val="none" w:sz="0" w:space="0" w:color="auto"/>
                    <w:right w:val="none" w:sz="0" w:space="0" w:color="auto"/>
                  </w:divBdr>
                  <w:divsChild>
                    <w:div w:id="1515798731">
                      <w:marLeft w:val="0"/>
                      <w:marRight w:val="0"/>
                      <w:marTop w:val="0"/>
                      <w:marBottom w:val="0"/>
                      <w:divBdr>
                        <w:top w:val="none" w:sz="0" w:space="0" w:color="auto"/>
                        <w:left w:val="none" w:sz="0" w:space="0" w:color="auto"/>
                        <w:bottom w:val="none" w:sz="0" w:space="0" w:color="auto"/>
                        <w:right w:val="none" w:sz="0" w:space="0" w:color="auto"/>
                      </w:divBdr>
                      <w:divsChild>
                        <w:div w:id="912619654">
                          <w:marLeft w:val="0"/>
                          <w:marRight w:val="0"/>
                          <w:marTop w:val="0"/>
                          <w:marBottom w:val="0"/>
                          <w:divBdr>
                            <w:top w:val="none" w:sz="0" w:space="0" w:color="auto"/>
                            <w:left w:val="none" w:sz="0" w:space="0" w:color="auto"/>
                            <w:bottom w:val="none" w:sz="0" w:space="0" w:color="auto"/>
                            <w:right w:val="none" w:sz="0" w:space="0" w:color="auto"/>
                          </w:divBdr>
                          <w:divsChild>
                            <w:div w:id="1867981884">
                              <w:marLeft w:val="0"/>
                              <w:marRight w:val="0"/>
                              <w:marTop w:val="0"/>
                              <w:marBottom w:val="0"/>
                              <w:divBdr>
                                <w:top w:val="none" w:sz="0" w:space="0" w:color="auto"/>
                                <w:left w:val="none" w:sz="0" w:space="0" w:color="auto"/>
                                <w:bottom w:val="none" w:sz="0" w:space="0" w:color="auto"/>
                                <w:right w:val="none" w:sz="0" w:space="0" w:color="auto"/>
                              </w:divBdr>
                              <w:divsChild>
                                <w:div w:id="1824732323">
                                  <w:marLeft w:val="0"/>
                                  <w:marRight w:val="100"/>
                                  <w:marTop w:val="0"/>
                                  <w:marBottom w:val="0"/>
                                  <w:divBdr>
                                    <w:top w:val="none" w:sz="0" w:space="0" w:color="auto"/>
                                    <w:left w:val="none" w:sz="0" w:space="0" w:color="auto"/>
                                    <w:bottom w:val="none" w:sz="0" w:space="0" w:color="auto"/>
                                    <w:right w:val="none" w:sz="0" w:space="0" w:color="auto"/>
                                  </w:divBdr>
                                  <w:divsChild>
                                    <w:div w:id="20153043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454019">
      <w:bodyDiv w:val="1"/>
      <w:marLeft w:val="0"/>
      <w:marRight w:val="0"/>
      <w:marTop w:val="0"/>
      <w:marBottom w:val="0"/>
      <w:divBdr>
        <w:top w:val="none" w:sz="0" w:space="0" w:color="auto"/>
        <w:left w:val="none" w:sz="0" w:space="0" w:color="auto"/>
        <w:bottom w:val="none" w:sz="0" w:space="0" w:color="auto"/>
        <w:right w:val="none" w:sz="0" w:space="0" w:color="auto"/>
      </w:divBdr>
    </w:div>
    <w:div w:id="1450276854">
      <w:bodyDiv w:val="1"/>
      <w:marLeft w:val="0"/>
      <w:marRight w:val="0"/>
      <w:marTop w:val="0"/>
      <w:marBottom w:val="0"/>
      <w:divBdr>
        <w:top w:val="none" w:sz="0" w:space="0" w:color="auto"/>
        <w:left w:val="none" w:sz="0" w:space="0" w:color="auto"/>
        <w:bottom w:val="none" w:sz="0" w:space="0" w:color="auto"/>
        <w:right w:val="none" w:sz="0" w:space="0" w:color="auto"/>
      </w:divBdr>
      <w:divsChild>
        <w:div w:id="103158981">
          <w:marLeft w:val="0"/>
          <w:marRight w:val="0"/>
          <w:marTop w:val="100"/>
          <w:marBottom w:val="100"/>
          <w:divBdr>
            <w:top w:val="none" w:sz="0" w:space="0" w:color="auto"/>
            <w:left w:val="none" w:sz="0" w:space="0" w:color="auto"/>
            <w:bottom w:val="none" w:sz="0" w:space="0" w:color="auto"/>
            <w:right w:val="none" w:sz="0" w:space="0" w:color="auto"/>
          </w:divBdr>
          <w:divsChild>
            <w:div w:id="1472092827">
              <w:marLeft w:val="-5120"/>
              <w:marRight w:val="0"/>
              <w:marTop w:val="0"/>
              <w:marBottom w:val="0"/>
              <w:divBdr>
                <w:top w:val="none" w:sz="0" w:space="0" w:color="auto"/>
                <w:left w:val="none" w:sz="0" w:space="0" w:color="auto"/>
                <w:bottom w:val="none" w:sz="0" w:space="0" w:color="auto"/>
                <w:right w:val="none" w:sz="0" w:space="0" w:color="auto"/>
              </w:divBdr>
              <w:divsChild>
                <w:div w:id="2090037231">
                  <w:marLeft w:val="0"/>
                  <w:marRight w:val="0"/>
                  <w:marTop w:val="270"/>
                  <w:marBottom w:val="0"/>
                  <w:divBdr>
                    <w:top w:val="none" w:sz="0" w:space="0" w:color="auto"/>
                    <w:left w:val="none" w:sz="0" w:space="0" w:color="auto"/>
                    <w:bottom w:val="none" w:sz="0" w:space="0" w:color="auto"/>
                    <w:right w:val="none" w:sz="0" w:space="0" w:color="auto"/>
                  </w:divBdr>
                  <w:divsChild>
                    <w:div w:id="754329605">
                      <w:marLeft w:val="-9600"/>
                      <w:marRight w:val="300"/>
                      <w:marTop w:val="20"/>
                      <w:marBottom w:val="0"/>
                      <w:divBdr>
                        <w:top w:val="none" w:sz="0" w:space="0" w:color="auto"/>
                        <w:left w:val="none" w:sz="0" w:space="0" w:color="auto"/>
                        <w:bottom w:val="none" w:sz="0" w:space="0" w:color="auto"/>
                        <w:right w:val="none" w:sz="0" w:space="0" w:color="auto"/>
                      </w:divBdr>
                    </w:div>
                    <w:div w:id="547104445">
                      <w:marLeft w:val="0"/>
                      <w:marRight w:val="0"/>
                      <w:marTop w:val="0"/>
                      <w:marBottom w:val="0"/>
                      <w:divBdr>
                        <w:top w:val="none" w:sz="0" w:space="0" w:color="auto"/>
                        <w:left w:val="none" w:sz="0" w:space="0" w:color="auto"/>
                        <w:bottom w:val="none" w:sz="0" w:space="0" w:color="auto"/>
                        <w:right w:val="none" w:sz="0" w:space="0" w:color="auto"/>
                      </w:divBdr>
                      <w:divsChild>
                        <w:div w:id="1613592662">
                          <w:marLeft w:val="0"/>
                          <w:marRight w:val="0"/>
                          <w:marTop w:val="0"/>
                          <w:marBottom w:val="0"/>
                          <w:divBdr>
                            <w:top w:val="none" w:sz="0" w:space="0" w:color="auto"/>
                            <w:left w:val="none" w:sz="0" w:space="0" w:color="auto"/>
                            <w:bottom w:val="none" w:sz="0" w:space="0" w:color="auto"/>
                            <w:right w:val="none" w:sz="0" w:space="0" w:color="auto"/>
                          </w:divBdr>
                          <w:divsChild>
                            <w:div w:id="13876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5386">
                      <w:marLeft w:val="0"/>
                      <w:marRight w:val="0"/>
                      <w:marTop w:val="0"/>
                      <w:marBottom w:val="0"/>
                      <w:divBdr>
                        <w:top w:val="none" w:sz="0" w:space="0" w:color="auto"/>
                        <w:left w:val="none" w:sz="0" w:space="0" w:color="auto"/>
                        <w:bottom w:val="none" w:sz="0" w:space="0" w:color="auto"/>
                        <w:right w:val="none" w:sz="0" w:space="0" w:color="auto"/>
                      </w:divBdr>
                      <w:divsChild>
                        <w:div w:id="657342104">
                          <w:marLeft w:val="0"/>
                          <w:marRight w:val="0"/>
                          <w:marTop w:val="0"/>
                          <w:marBottom w:val="0"/>
                          <w:divBdr>
                            <w:top w:val="none" w:sz="0" w:space="0" w:color="auto"/>
                            <w:left w:val="none" w:sz="0" w:space="0" w:color="auto"/>
                            <w:bottom w:val="none" w:sz="0" w:space="0" w:color="auto"/>
                            <w:right w:val="none" w:sz="0" w:space="0" w:color="auto"/>
                          </w:divBdr>
                          <w:divsChild>
                            <w:div w:id="1718550696">
                              <w:marLeft w:val="0"/>
                              <w:marRight w:val="0"/>
                              <w:marTop w:val="0"/>
                              <w:marBottom w:val="0"/>
                              <w:divBdr>
                                <w:top w:val="none" w:sz="0" w:space="0" w:color="auto"/>
                                <w:left w:val="none" w:sz="0" w:space="0" w:color="auto"/>
                                <w:bottom w:val="none" w:sz="0" w:space="0" w:color="auto"/>
                                <w:right w:val="none" w:sz="0" w:space="0" w:color="auto"/>
                              </w:divBdr>
                              <w:divsChild>
                                <w:div w:id="626273896">
                                  <w:marLeft w:val="0"/>
                                  <w:marRight w:val="100"/>
                                  <w:marTop w:val="0"/>
                                  <w:marBottom w:val="0"/>
                                  <w:divBdr>
                                    <w:top w:val="none" w:sz="0" w:space="0" w:color="auto"/>
                                    <w:left w:val="none" w:sz="0" w:space="0" w:color="auto"/>
                                    <w:bottom w:val="none" w:sz="0" w:space="0" w:color="auto"/>
                                    <w:right w:val="none" w:sz="0" w:space="0" w:color="auto"/>
                                  </w:divBdr>
                                  <w:divsChild>
                                    <w:div w:id="1307972480">
                                      <w:marLeft w:val="0"/>
                                      <w:marRight w:val="300"/>
                                      <w:marTop w:val="0"/>
                                      <w:marBottom w:val="0"/>
                                      <w:divBdr>
                                        <w:top w:val="none" w:sz="0" w:space="0" w:color="auto"/>
                                        <w:left w:val="none" w:sz="0" w:space="0" w:color="auto"/>
                                        <w:bottom w:val="none" w:sz="0" w:space="0" w:color="auto"/>
                                        <w:right w:val="none" w:sz="0" w:space="0" w:color="auto"/>
                                      </w:divBdr>
                                      <w:divsChild>
                                        <w:div w:id="1171601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039554">
      <w:bodyDiv w:val="1"/>
      <w:marLeft w:val="0"/>
      <w:marRight w:val="0"/>
      <w:marTop w:val="0"/>
      <w:marBottom w:val="0"/>
      <w:divBdr>
        <w:top w:val="none" w:sz="0" w:space="0" w:color="auto"/>
        <w:left w:val="none" w:sz="0" w:space="0" w:color="auto"/>
        <w:bottom w:val="none" w:sz="0" w:space="0" w:color="auto"/>
        <w:right w:val="none" w:sz="0" w:space="0" w:color="auto"/>
      </w:divBdr>
      <w:divsChild>
        <w:div w:id="1129397806">
          <w:marLeft w:val="936"/>
          <w:marRight w:val="0"/>
          <w:marTop w:val="120"/>
          <w:marBottom w:val="0"/>
          <w:divBdr>
            <w:top w:val="none" w:sz="0" w:space="0" w:color="auto"/>
            <w:left w:val="none" w:sz="0" w:space="0" w:color="auto"/>
            <w:bottom w:val="none" w:sz="0" w:space="0" w:color="auto"/>
            <w:right w:val="none" w:sz="0" w:space="0" w:color="auto"/>
          </w:divBdr>
        </w:div>
      </w:divsChild>
    </w:div>
    <w:div w:id="20619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3934-87EC-42FD-A098-AF96E89C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2774</Words>
  <Characters>15260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BIROUK</dc:creator>
  <cp:keywords/>
  <dc:description/>
  <cp:lastModifiedBy>Omar BIROUK</cp:lastModifiedBy>
  <cp:revision>5</cp:revision>
  <cp:lastPrinted>2014-05-14T15:02:00Z</cp:lastPrinted>
  <dcterms:created xsi:type="dcterms:W3CDTF">2014-05-14T16:52:00Z</dcterms:created>
  <dcterms:modified xsi:type="dcterms:W3CDTF">2014-05-15T08:43:00Z</dcterms:modified>
</cp:coreProperties>
</file>